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72" w:tblpY="4606"/>
        <w:tblOverlap w:val="neve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9"/>
        <w:gridCol w:w="1202"/>
        <w:gridCol w:w="1050"/>
        <w:gridCol w:w="1597"/>
        <w:gridCol w:w="3369"/>
      </w:tblGrid>
      <w:tr w:rsidR="004D105C" w:rsidRPr="00021291" w:rsidTr="004D105C">
        <w:trPr>
          <w:trHeight w:val="257"/>
        </w:trPr>
        <w:tc>
          <w:tcPr>
            <w:tcW w:w="1403" w:type="dxa"/>
          </w:tcPr>
          <w:p w:rsidR="004D105C" w:rsidRPr="00021291" w:rsidRDefault="004D105C" w:rsidP="004D105C">
            <w:pPr>
              <w:rPr>
                <w:rFonts w:ascii="Gill Sans MT" w:hAnsi="Gill Sans MT" w:cs="Arial"/>
                <w:b/>
                <w:sz w:val="16"/>
                <w:szCs w:val="16"/>
              </w:rPr>
            </w:pPr>
          </w:p>
          <w:p w:rsidR="004D105C" w:rsidRPr="00021291" w:rsidRDefault="004D105C" w:rsidP="004D105C">
            <w:pPr>
              <w:rPr>
                <w:rFonts w:ascii="Gill Sans MT" w:hAnsi="Gill Sans MT" w:cs="Arial"/>
                <w:b/>
                <w:sz w:val="16"/>
                <w:szCs w:val="16"/>
              </w:rPr>
            </w:pPr>
            <w:r>
              <w:rPr>
                <w:rFonts w:ascii="Gill Sans MT" w:hAnsi="Gill Sans MT" w:cs="Arial"/>
                <w:b/>
                <w:sz w:val="16"/>
                <w:szCs w:val="16"/>
              </w:rPr>
              <w:t xml:space="preserve">Activities in support of </w:t>
            </w:r>
            <w:r w:rsidRPr="00021291">
              <w:rPr>
                <w:rFonts w:ascii="Gill Sans MT" w:hAnsi="Gill Sans MT" w:cs="Arial"/>
                <w:b/>
                <w:sz w:val="16"/>
                <w:szCs w:val="16"/>
              </w:rPr>
              <w:t xml:space="preserve">Objective </w:t>
            </w:r>
          </w:p>
          <w:p w:rsidR="004D105C" w:rsidRPr="00021291" w:rsidRDefault="004D105C" w:rsidP="004D105C">
            <w:pPr>
              <w:rPr>
                <w:rFonts w:ascii="Gill Sans MT" w:hAnsi="Gill Sans MT" w:cs="Arial"/>
                <w:b/>
                <w:sz w:val="16"/>
                <w:szCs w:val="16"/>
              </w:rPr>
            </w:pPr>
          </w:p>
        </w:tc>
        <w:tc>
          <w:tcPr>
            <w:tcW w:w="1202" w:type="dxa"/>
          </w:tcPr>
          <w:p w:rsidR="004D105C" w:rsidRPr="00021291" w:rsidRDefault="004D105C" w:rsidP="004D105C">
            <w:pPr>
              <w:rPr>
                <w:rFonts w:ascii="Gill Sans MT" w:hAnsi="Gill Sans MT" w:cs="Arial"/>
                <w:b/>
                <w:sz w:val="16"/>
                <w:szCs w:val="16"/>
              </w:rPr>
            </w:pPr>
          </w:p>
          <w:p w:rsidR="004D105C" w:rsidRPr="00021291" w:rsidRDefault="004D105C" w:rsidP="004D105C">
            <w:pPr>
              <w:rPr>
                <w:rFonts w:ascii="Gill Sans MT" w:hAnsi="Gill Sans MT" w:cs="Arial"/>
                <w:b/>
                <w:sz w:val="16"/>
                <w:szCs w:val="16"/>
              </w:rPr>
            </w:pPr>
            <w:r w:rsidRPr="00021291">
              <w:rPr>
                <w:rFonts w:ascii="Gill Sans MT" w:hAnsi="Gill Sans MT" w:cs="Arial"/>
                <w:b/>
                <w:sz w:val="16"/>
                <w:szCs w:val="16"/>
              </w:rPr>
              <w:t>Network members’ participation and roles</w:t>
            </w:r>
          </w:p>
        </w:tc>
        <w:tc>
          <w:tcPr>
            <w:tcW w:w="1026" w:type="dxa"/>
          </w:tcPr>
          <w:p w:rsidR="004D105C" w:rsidRPr="00021291" w:rsidRDefault="004D105C" w:rsidP="004D105C">
            <w:pPr>
              <w:rPr>
                <w:rFonts w:ascii="Gill Sans MT" w:hAnsi="Gill Sans MT" w:cs="Arial"/>
                <w:b/>
                <w:sz w:val="16"/>
                <w:szCs w:val="16"/>
              </w:rPr>
            </w:pPr>
          </w:p>
          <w:p w:rsidR="004D105C" w:rsidRPr="00021291" w:rsidRDefault="004D105C" w:rsidP="004D105C">
            <w:pPr>
              <w:rPr>
                <w:rFonts w:ascii="Gill Sans MT" w:hAnsi="Gill Sans MT" w:cs="Arial"/>
                <w:b/>
                <w:sz w:val="16"/>
                <w:szCs w:val="16"/>
              </w:rPr>
            </w:pPr>
            <w:r w:rsidRPr="00021291">
              <w:rPr>
                <w:rFonts w:ascii="Gill Sans MT" w:hAnsi="Gill Sans MT" w:cs="Arial"/>
                <w:b/>
                <w:sz w:val="16"/>
                <w:szCs w:val="16"/>
              </w:rPr>
              <w:t>Inputs (time and resources)</w:t>
            </w:r>
          </w:p>
        </w:tc>
        <w:tc>
          <w:tcPr>
            <w:tcW w:w="1599" w:type="dxa"/>
          </w:tcPr>
          <w:p w:rsidR="004D105C" w:rsidRPr="00021291" w:rsidRDefault="004D105C" w:rsidP="004D105C">
            <w:pPr>
              <w:rPr>
                <w:rFonts w:ascii="Gill Sans MT" w:hAnsi="Gill Sans MT" w:cs="Arial"/>
                <w:b/>
                <w:sz w:val="16"/>
                <w:szCs w:val="16"/>
              </w:rPr>
            </w:pPr>
          </w:p>
          <w:p w:rsidR="004D105C" w:rsidRDefault="004D105C" w:rsidP="004D105C">
            <w:pPr>
              <w:rPr>
                <w:rFonts w:ascii="Gill Sans MT" w:hAnsi="Gill Sans MT" w:cs="Arial"/>
                <w:b/>
                <w:sz w:val="16"/>
                <w:szCs w:val="16"/>
              </w:rPr>
            </w:pPr>
            <w:r>
              <w:rPr>
                <w:rFonts w:ascii="Gill Sans MT" w:hAnsi="Gill Sans MT" w:cs="Arial"/>
                <w:b/>
                <w:sz w:val="16"/>
                <w:szCs w:val="16"/>
              </w:rPr>
              <w:t>Summary of Progress</w:t>
            </w:r>
          </w:p>
          <w:p w:rsidR="004D105C" w:rsidRPr="00021291" w:rsidRDefault="004D105C" w:rsidP="004D105C">
            <w:pPr>
              <w:rPr>
                <w:rFonts w:ascii="Gill Sans MT" w:hAnsi="Gill Sans MT" w:cs="Arial"/>
                <w:b/>
                <w:sz w:val="16"/>
                <w:szCs w:val="16"/>
              </w:rPr>
            </w:pPr>
            <w:r>
              <w:rPr>
                <w:rFonts w:ascii="Gill Sans MT" w:hAnsi="Gill Sans MT" w:cs="Arial"/>
                <w:b/>
                <w:sz w:val="16"/>
                <w:szCs w:val="16"/>
              </w:rPr>
              <w:t>(outputs, o</w:t>
            </w:r>
            <w:r w:rsidRPr="00021291">
              <w:rPr>
                <w:rFonts w:ascii="Gill Sans MT" w:hAnsi="Gill Sans MT" w:cs="Arial"/>
                <w:b/>
                <w:sz w:val="16"/>
                <w:szCs w:val="16"/>
              </w:rPr>
              <w:t xml:space="preserve">utcomes </w:t>
            </w:r>
            <w:r>
              <w:rPr>
                <w:rFonts w:ascii="Gill Sans MT" w:hAnsi="Gill Sans MT" w:cs="Arial"/>
                <w:b/>
                <w:sz w:val="16"/>
                <w:szCs w:val="16"/>
              </w:rPr>
              <w:t>)</w:t>
            </w:r>
          </w:p>
        </w:tc>
        <w:tc>
          <w:tcPr>
            <w:tcW w:w="3387" w:type="dxa"/>
          </w:tcPr>
          <w:p w:rsidR="004D105C" w:rsidRPr="00021291" w:rsidRDefault="004D105C" w:rsidP="004D105C">
            <w:pPr>
              <w:rPr>
                <w:rFonts w:ascii="Gill Sans MT" w:hAnsi="Gill Sans MT" w:cs="Arial"/>
                <w:b/>
                <w:sz w:val="16"/>
                <w:szCs w:val="16"/>
              </w:rPr>
            </w:pPr>
          </w:p>
          <w:p w:rsidR="004D105C" w:rsidRPr="00021291" w:rsidRDefault="004D105C" w:rsidP="004D105C">
            <w:pPr>
              <w:rPr>
                <w:rFonts w:ascii="Gill Sans MT" w:hAnsi="Gill Sans MT" w:cs="Arial"/>
                <w:b/>
                <w:sz w:val="16"/>
                <w:szCs w:val="16"/>
              </w:rPr>
            </w:pPr>
            <w:r w:rsidRPr="00021291">
              <w:rPr>
                <w:rFonts w:ascii="Gill Sans MT" w:hAnsi="Gill Sans MT" w:cs="Arial"/>
                <w:b/>
                <w:sz w:val="16"/>
                <w:szCs w:val="16"/>
              </w:rPr>
              <w:t>Facilitating Factors/Challenges</w:t>
            </w:r>
          </w:p>
        </w:tc>
      </w:tr>
      <w:tr w:rsidR="004D105C" w:rsidRPr="00021291" w:rsidTr="004D105C">
        <w:trPr>
          <w:trHeight w:val="103"/>
        </w:trPr>
        <w:tc>
          <w:tcPr>
            <w:tcW w:w="1403" w:type="dxa"/>
          </w:tcPr>
          <w:p w:rsidR="004D105C" w:rsidRDefault="004D105C" w:rsidP="004D105C">
            <w:pPr>
              <w:rPr>
                <w:rFonts w:ascii="Gill Sans MT" w:hAnsi="Gill Sans MT" w:cs="Arial"/>
                <w:sz w:val="16"/>
                <w:szCs w:val="16"/>
              </w:rPr>
            </w:pPr>
          </w:p>
          <w:p w:rsidR="004D105C" w:rsidRPr="00021291" w:rsidRDefault="004D105C" w:rsidP="004D105C">
            <w:pPr>
              <w:rPr>
                <w:rFonts w:ascii="Gill Sans MT" w:hAnsi="Gill Sans MT" w:cs="Arial"/>
                <w:sz w:val="16"/>
                <w:szCs w:val="16"/>
              </w:rPr>
            </w:pPr>
            <w:r>
              <w:rPr>
                <w:rFonts w:ascii="Gill Sans MT" w:hAnsi="Gill Sans MT" w:cs="Arial"/>
                <w:sz w:val="16"/>
                <w:szCs w:val="16"/>
              </w:rPr>
              <w:t>Regular monthly regional meetings</w:t>
            </w:r>
          </w:p>
        </w:tc>
        <w:tc>
          <w:tcPr>
            <w:tcW w:w="1202" w:type="dxa"/>
          </w:tcPr>
          <w:p w:rsidR="004D105C" w:rsidRPr="00021291" w:rsidRDefault="004D105C" w:rsidP="004D105C">
            <w:pPr>
              <w:rPr>
                <w:rFonts w:ascii="Gill Sans MT" w:hAnsi="Gill Sans MT" w:cs="Arial"/>
                <w:sz w:val="16"/>
                <w:szCs w:val="16"/>
              </w:rPr>
            </w:pPr>
            <w:r>
              <w:rPr>
                <w:rFonts w:ascii="Gill Sans MT" w:hAnsi="Gill Sans MT" w:cs="Arial"/>
                <w:sz w:val="16"/>
                <w:szCs w:val="16"/>
              </w:rPr>
              <w:t>Every ICHH funded provider, as well as regional providers not receiving ICHH funds but serving homeless families, e.g., Springfield Community Partners, Catholic Charities, YWCA of Western Mass.; also state agency rep from DHCD, DTA, DV</w:t>
            </w:r>
          </w:p>
        </w:tc>
        <w:tc>
          <w:tcPr>
            <w:tcW w:w="1026" w:type="dxa"/>
          </w:tcPr>
          <w:p w:rsidR="004D105C" w:rsidRPr="00021291" w:rsidRDefault="004D105C" w:rsidP="004D105C">
            <w:pPr>
              <w:rPr>
                <w:rFonts w:ascii="Gill Sans MT" w:hAnsi="Gill Sans MT" w:cs="Arial"/>
                <w:sz w:val="16"/>
                <w:szCs w:val="16"/>
              </w:rPr>
            </w:pPr>
            <w:r>
              <w:rPr>
                <w:rFonts w:ascii="Gill Sans MT" w:hAnsi="Gill Sans MT" w:cs="Arial"/>
                <w:sz w:val="16"/>
                <w:szCs w:val="16"/>
              </w:rPr>
              <w:t>2 hour monthly meetings</w:t>
            </w:r>
          </w:p>
        </w:tc>
        <w:tc>
          <w:tcPr>
            <w:tcW w:w="1599" w:type="dxa"/>
          </w:tcPr>
          <w:p w:rsidR="004D105C" w:rsidRDefault="004D105C" w:rsidP="004D105C">
            <w:pPr>
              <w:rPr>
                <w:rFonts w:ascii="Gill Sans MT" w:hAnsi="Gill Sans MT" w:cs="Arial"/>
                <w:sz w:val="16"/>
                <w:szCs w:val="16"/>
              </w:rPr>
            </w:pPr>
            <w:r>
              <w:rPr>
                <w:rFonts w:ascii="Gill Sans MT" w:hAnsi="Gill Sans MT" w:cs="Arial"/>
                <w:sz w:val="16"/>
                <w:szCs w:val="16"/>
              </w:rPr>
              <w:t>Attendance has grown at each meeting – last meeting had 16 participants, including 7 non ICHH staff from non ICHH funded agencies;</w:t>
            </w:r>
          </w:p>
          <w:p w:rsidR="004D105C" w:rsidRDefault="004D105C" w:rsidP="004D105C">
            <w:pPr>
              <w:rPr>
                <w:rFonts w:ascii="Gill Sans MT" w:hAnsi="Gill Sans MT" w:cs="Arial"/>
                <w:sz w:val="16"/>
                <w:szCs w:val="16"/>
              </w:rPr>
            </w:pPr>
          </w:p>
          <w:p w:rsidR="004D105C" w:rsidRPr="00021291" w:rsidRDefault="004D105C" w:rsidP="004D105C">
            <w:pPr>
              <w:rPr>
                <w:rFonts w:ascii="Gill Sans MT" w:hAnsi="Gill Sans MT" w:cs="Arial"/>
                <w:sz w:val="16"/>
                <w:szCs w:val="16"/>
              </w:rPr>
            </w:pPr>
            <w:r>
              <w:rPr>
                <w:rFonts w:ascii="Gill Sans MT" w:hAnsi="Gill Sans MT" w:cs="Arial"/>
                <w:sz w:val="16"/>
                <w:szCs w:val="16"/>
              </w:rPr>
              <w:t>Developed and agreed upon uniform guidelines for distribution of ICHH funds that may also apply across other non-ICHH programs; developed uniform release form for region to facilitate assisting families across provider lines</w:t>
            </w:r>
          </w:p>
        </w:tc>
        <w:tc>
          <w:tcPr>
            <w:tcW w:w="3387" w:type="dxa"/>
          </w:tcPr>
          <w:p w:rsidR="004D105C" w:rsidRPr="00021291" w:rsidRDefault="004D105C" w:rsidP="004D105C">
            <w:pPr>
              <w:rPr>
                <w:rFonts w:ascii="Gill Sans MT" w:hAnsi="Gill Sans MT" w:cs="Arial"/>
                <w:sz w:val="16"/>
                <w:szCs w:val="16"/>
              </w:rPr>
            </w:pPr>
            <w:r>
              <w:rPr>
                <w:rFonts w:ascii="Gill Sans MT" w:hAnsi="Gill Sans MT" w:cs="Arial"/>
                <w:sz w:val="16"/>
                <w:szCs w:val="16"/>
              </w:rPr>
              <w:t xml:space="preserve">Creating this forum has been welcomed and people are </w:t>
            </w:r>
            <w:proofErr w:type="gramStart"/>
            <w:r>
              <w:rPr>
                <w:rFonts w:ascii="Gill Sans MT" w:hAnsi="Gill Sans MT" w:cs="Arial"/>
                <w:sz w:val="16"/>
                <w:szCs w:val="16"/>
              </w:rPr>
              <w:t>responding  positively</w:t>
            </w:r>
            <w:proofErr w:type="gramEnd"/>
            <w:r>
              <w:rPr>
                <w:rFonts w:ascii="Gill Sans MT" w:hAnsi="Gill Sans MT" w:cs="Arial"/>
                <w:sz w:val="16"/>
                <w:szCs w:val="16"/>
              </w:rPr>
              <w:t xml:space="preserve"> to the opportunity to exchange information and collaborate.  The fundamental challenge is the level of need and the organizational demand required to meet it, both in terms of staff and reporting requirements.</w:t>
            </w:r>
          </w:p>
        </w:tc>
      </w:tr>
      <w:tr w:rsidR="004D105C" w:rsidRPr="00021291" w:rsidTr="004D105C">
        <w:trPr>
          <w:trHeight w:val="99"/>
        </w:trPr>
        <w:tc>
          <w:tcPr>
            <w:tcW w:w="1403" w:type="dxa"/>
          </w:tcPr>
          <w:p w:rsidR="004D105C" w:rsidRPr="00021291" w:rsidRDefault="004D105C" w:rsidP="004D105C">
            <w:pPr>
              <w:rPr>
                <w:rFonts w:ascii="Gill Sans MT" w:hAnsi="Gill Sans MT" w:cs="Arial"/>
                <w:sz w:val="16"/>
                <w:szCs w:val="16"/>
              </w:rPr>
            </w:pPr>
          </w:p>
          <w:p w:rsidR="004D105C" w:rsidRPr="00021291" w:rsidRDefault="004D105C" w:rsidP="004D105C">
            <w:pPr>
              <w:rPr>
                <w:rFonts w:ascii="Gill Sans MT" w:hAnsi="Gill Sans MT" w:cs="Arial"/>
                <w:sz w:val="16"/>
                <w:szCs w:val="16"/>
              </w:rPr>
            </w:pPr>
            <w:r>
              <w:rPr>
                <w:rFonts w:ascii="Gill Sans MT" w:hAnsi="Gill Sans MT" w:cs="Arial"/>
                <w:sz w:val="16"/>
                <w:szCs w:val="16"/>
              </w:rPr>
              <w:t>Sub-regional (county level) meetings</w:t>
            </w:r>
            <w:r w:rsidRPr="00021291">
              <w:rPr>
                <w:rFonts w:ascii="Gill Sans MT" w:hAnsi="Gill Sans MT" w:cs="Arial"/>
                <w:sz w:val="16"/>
                <w:szCs w:val="16"/>
              </w:rPr>
              <w:t xml:space="preserve">  </w:t>
            </w:r>
          </w:p>
          <w:p w:rsidR="004D105C" w:rsidRPr="00021291" w:rsidRDefault="004D105C" w:rsidP="004D105C">
            <w:pPr>
              <w:rPr>
                <w:rFonts w:ascii="Gill Sans MT" w:hAnsi="Gill Sans MT" w:cs="Arial"/>
                <w:sz w:val="16"/>
                <w:szCs w:val="16"/>
              </w:rPr>
            </w:pPr>
          </w:p>
        </w:tc>
        <w:tc>
          <w:tcPr>
            <w:tcW w:w="1202" w:type="dxa"/>
          </w:tcPr>
          <w:p w:rsidR="004D105C" w:rsidRPr="00021291" w:rsidRDefault="004D105C" w:rsidP="004D105C">
            <w:pPr>
              <w:rPr>
                <w:rFonts w:ascii="Gill Sans MT" w:hAnsi="Gill Sans MT" w:cs="Arial"/>
                <w:sz w:val="16"/>
                <w:szCs w:val="16"/>
              </w:rPr>
            </w:pPr>
            <w:r>
              <w:rPr>
                <w:rFonts w:ascii="Gill Sans MT" w:hAnsi="Gill Sans MT" w:cs="Arial"/>
                <w:sz w:val="16"/>
                <w:szCs w:val="16"/>
              </w:rPr>
              <w:t>Hampden County providers; Franklin County, Berkshire County</w:t>
            </w:r>
          </w:p>
        </w:tc>
        <w:tc>
          <w:tcPr>
            <w:tcW w:w="1026" w:type="dxa"/>
          </w:tcPr>
          <w:p w:rsidR="004D105C" w:rsidRPr="00021291" w:rsidRDefault="00D8006A" w:rsidP="004D105C">
            <w:pPr>
              <w:rPr>
                <w:rFonts w:ascii="Gill Sans MT" w:hAnsi="Gill Sans MT" w:cs="Arial"/>
                <w:sz w:val="16"/>
                <w:szCs w:val="16"/>
              </w:rPr>
            </w:pPr>
            <w:r>
              <w:rPr>
                <w:rFonts w:ascii="Gill Sans MT" w:hAnsi="Gill Sans MT" w:cs="Arial"/>
                <w:sz w:val="16"/>
                <w:szCs w:val="16"/>
              </w:rPr>
              <w:t>In Hampden: roughly monthly; Franklin, every week; Berkshire, ongoing</w:t>
            </w:r>
          </w:p>
        </w:tc>
        <w:tc>
          <w:tcPr>
            <w:tcW w:w="1599" w:type="dxa"/>
          </w:tcPr>
          <w:p w:rsidR="004D105C" w:rsidRPr="00021291" w:rsidRDefault="00D8006A" w:rsidP="00971862">
            <w:pPr>
              <w:rPr>
                <w:rFonts w:ascii="Gill Sans MT" w:hAnsi="Gill Sans MT" w:cs="Arial"/>
                <w:sz w:val="16"/>
                <w:szCs w:val="16"/>
              </w:rPr>
            </w:pPr>
            <w:r>
              <w:rPr>
                <w:rFonts w:ascii="Gill Sans MT" w:hAnsi="Gill Sans MT" w:cs="Arial"/>
                <w:sz w:val="16"/>
                <w:szCs w:val="16"/>
              </w:rPr>
              <w:t>Sub-county efforts have enabled providers to  coordinate efforts on a local leve</w:t>
            </w:r>
            <w:r w:rsidR="00971862">
              <w:rPr>
                <w:rFonts w:ascii="Gill Sans MT" w:hAnsi="Gill Sans MT" w:cs="Arial"/>
                <w:sz w:val="16"/>
                <w:szCs w:val="16"/>
              </w:rPr>
              <w:t>l</w:t>
            </w:r>
            <w:r>
              <w:rPr>
                <w:rFonts w:ascii="Gill Sans MT" w:hAnsi="Gill Sans MT" w:cs="Arial"/>
                <w:sz w:val="16"/>
                <w:szCs w:val="16"/>
              </w:rPr>
              <w:t>. Specifically, in Hampden County, providers are meeting to coordinate staffing and collaboration at DTA/DHCD offices.  Franklin County providers meet weekly to assess applicant families across the county.  Berkshire providers are in constant communication about ongoing collaborations.</w:t>
            </w:r>
          </w:p>
        </w:tc>
        <w:tc>
          <w:tcPr>
            <w:tcW w:w="3387" w:type="dxa"/>
          </w:tcPr>
          <w:p w:rsidR="004D105C" w:rsidRPr="00021291" w:rsidRDefault="00D8006A" w:rsidP="004D105C">
            <w:pPr>
              <w:rPr>
                <w:rFonts w:ascii="Gill Sans MT" w:hAnsi="Gill Sans MT" w:cs="Arial"/>
                <w:sz w:val="16"/>
                <w:szCs w:val="16"/>
              </w:rPr>
            </w:pPr>
            <w:r>
              <w:rPr>
                <w:rFonts w:ascii="Gill Sans MT" w:hAnsi="Gill Sans MT" w:cs="Arial"/>
                <w:sz w:val="16"/>
                <w:szCs w:val="16"/>
              </w:rPr>
              <w:t>Again, willingness to meet and the understanding of how it will enhance service delivery figures large in the success of these collaborations.</w:t>
            </w:r>
          </w:p>
        </w:tc>
      </w:tr>
      <w:tr w:rsidR="004D105C" w:rsidRPr="00021291" w:rsidTr="004D105C">
        <w:trPr>
          <w:trHeight w:val="938"/>
        </w:trPr>
        <w:tc>
          <w:tcPr>
            <w:tcW w:w="1403" w:type="dxa"/>
          </w:tcPr>
          <w:p w:rsidR="004D105C" w:rsidRPr="00021291" w:rsidRDefault="004D105C" w:rsidP="004D105C">
            <w:pPr>
              <w:rPr>
                <w:rFonts w:ascii="Gill Sans MT" w:hAnsi="Gill Sans MT" w:cs="Arial"/>
                <w:sz w:val="16"/>
                <w:szCs w:val="16"/>
              </w:rPr>
            </w:pPr>
          </w:p>
          <w:p w:rsidR="004D105C" w:rsidRPr="00021291" w:rsidRDefault="004D105C" w:rsidP="00D8006A">
            <w:pPr>
              <w:rPr>
                <w:rFonts w:ascii="Gill Sans MT" w:hAnsi="Gill Sans MT" w:cs="Arial"/>
                <w:sz w:val="16"/>
                <w:szCs w:val="16"/>
              </w:rPr>
            </w:pPr>
          </w:p>
        </w:tc>
        <w:tc>
          <w:tcPr>
            <w:tcW w:w="1202" w:type="dxa"/>
          </w:tcPr>
          <w:p w:rsidR="004D105C" w:rsidRPr="00021291" w:rsidRDefault="004D105C" w:rsidP="004D105C">
            <w:pPr>
              <w:rPr>
                <w:rFonts w:ascii="Gill Sans MT" w:hAnsi="Gill Sans MT" w:cs="Arial"/>
                <w:sz w:val="16"/>
                <w:szCs w:val="16"/>
              </w:rPr>
            </w:pPr>
          </w:p>
        </w:tc>
        <w:tc>
          <w:tcPr>
            <w:tcW w:w="1026" w:type="dxa"/>
          </w:tcPr>
          <w:p w:rsidR="004D105C" w:rsidRPr="00021291" w:rsidRDefault="004D105C" w:rsidP="004D105C">
            <w:pPr>
              <w:rPr>
                <w:rFonts w:ascii="Gill Sans MT" w:hAnsi="Gill Sans MT" w:cs="Arial"/>
                <w:sz w:val="16"/>
                <w:szCs w:val="16"/>
              </w:rPr>
            </w:pPr>
          </w:p>
        </w:tc>
        <w:tc>
          <w:tcPr>
            <w:tcW w:w="1599" w:type="dxa"/>
          </w:tcPr>
          <w:p w:rsidR="004D105C" w:rsidRPr="00021291" w:rsidRDefault="004D105C" w:rsidP="004D105C">
            <w:pPr>
              <w:rPr>
                <w:rFonts w:ascii="Gill Sans MT" w:hAnsi="Gill Sans MT" w:cs="Arial"/>
                <w:sz w:val="16"/>
                <w:szCs w:val="16"/>
              </w:rPr>
            </w:pPr>
          </w:p>
        </w:tc>
        <w:tc>
          <w:tcPr>
            <w:tcW w:w="3387" w:type="dxa"/>
          </w:tcPr>
          <w:p w:rsidR="004D105C" w:rsidRPr="00021291" w:rsidRDefault="004D105C" w:rsidP="004D105C">
            <w:pPr>
              <w:rPr>
                <w:rFonts w:ascii="Gill Sans MT" w:hAnsi="Gill Sans MT" w:cs="Arial"/>
                <w:sz w:val="16"/>
                <w:szCs w:val="16"/>
              </w:rPr>
            </w:pPr>
          </w:p>
        </w:tc>
      </w:tr>
    </w:tbl>
    <w:p w:rsidR="004D105C" w:rsidRPr="004D105C" w:rsidRDefault="004D105C" w:rsidP="004D105C">
      <w:pPr>
        <w:jc w:val="center"/>
        <w:rPr>
          <w:rFonts w:ascii="Gill Sans MT" w:hAnsi="Gill Sans MT" w:cs="Arial"/>
          <w:b/>
          <w:sz w:val="24"/>
          <w:szCs w:val="24"/>
        </w:rPr>
      </w:pPr>
      <w:r w:rsidRPr="004D105C">
        <w:rPr>
          <w:rFonts w:ascii="Gill Sans MT" w:hAnsi="Gill Sans MT" w:cs="Arial"/>
          <w:b/>
          <w:sz w:val="24"/>
          <w:szCs w:val="24"/>
        </w:rPr>
        <w:t>ICHH Regional Network Evaluation</w:t>
      </w:r>
    </w:p>
    <w:p w:rsidR="004D105C" w:rsidRPr="004D105C" w:rsidRDefault="004D105C" w:rsidP="004D105C">
      <w:pPr>
        <w:jc w:val="center"/>
        <w:rPr>
          <w:rFonts w:ascii="Gill Sans MT" w:hAnsi="Gill Sans MT" w:cs="Arial"/>
          <w:b/>
          <w:sz w:val="24"/>
          <w:szCs w:val="24"/>
        </w:rPr>
      </w:pPr>
      <w:r w:rsidRPr="004D105C">
        <w:rPr>
          <w:rFonts w:ascii="Gill Sans MT" w:hAnsi="Gill Sans MT" w:cs="Arial"/>
          <w:b/>
          <w:sz w:val="24"/>
          <w:szCs w:val="24"/>
        </w:rPr>
        <w:t>Quarterly Network Committee/Subcommittee Report</w:t>
      </w:r>
    </w:p>
    <w:p w:rsidR="004D105C" w:rsidRPr="004D105C" w:rsidRDefault="004D105C" w:rsidP="004D105C">
      <w:pPr>
        <w:jc w:val="center"/>
        <w:rPr>
          <w:rFonts w:ascii="Gill Sans MT" w:hAnsi="Gill Sans MT" w:cs="Arial"/>
          <w:b/>
          <w:sz w:val="24"/>
          <w:szCs w:val="24"/>
        </w:rPr>
      </w:pPr>
    </w:p>
    <w:p w:rsidR="004D105C" w:rsidRPr="004D105C" w:rsidRDefault="004D105C" w:rsidP="004D105C">
      <w:pPr>
        <w:rPr>
          <w:rFonts w:ascii="Gill Sans MT" w:hAnsi="Gill Sans MT" w:cs="Arial"/>
          <w:b/>
          <w:sz w:val="24"/>
          <w:szCs w:val="24"/>
        </w:rPr>
      </w:pPr>
      <w:r w:rsidRPr="004D105C">
        <w:rPr>
          <w:rFonts w:ascii="Gill Sans MT" w:hAnsi="Gill Sans MT" w:cs="Arial"/>
          <w:b/>
          <w:sz w:val="24"/>
          <w:szCs w:val="24"/>
        </w:rPr>
        <w:t>Committee name:   Family Services Committee</w:t>
      </w:r>
    </w:p>
    <w:p w:rsidR="004D105C" w:rsidRDefault="004D105C" w:rsidP="004D105C">
      <w:pPr>
        <w:rPr>
          <w:rFonts w:ascii="Gill Sans MT" w:hAnsi="Gill Sans MT" w:cs="Arial"/>
          <w:b/>
          <w:sz w:val="24"/>
          <w:szCs w:val="24"/>
        </w:rPr>
      </w:pPr>
      <w:r w:rsidRPr="004D105C">
        <w:rPr>
          <w:rFonts w:ascii="Gill Sans MT" w:hAnsi="Gill Sans MT" w:cs="Arial"/>
          <w:b/>
          <w:sz w:val="24"/>
          <w:szCs w:val="24"/>
        </w:rPr>
        <w:t xml:space="preserve">Objectives for </w:t>
      </w:r>
      <w:proofErr w:type="gramStart"/>
      <w:r w:rsidRPr="004D105C">
        <w:rPr>
          <w:rFonts w:ascii="Gill Sans MT" w:hAnsi="Gill Sans MT" w:cs="Arial"/>
          <w:b/>
          <w:sz w:val="24"/>
          <w:szCs w:val="24"/>
        </w:rPr>
        <w:t>the  Quarter</w:t>
      </w:r>
      <w:proofErr w:type="gramEnd"/>
      <w:r w:rsidRPr="004D105C">
        <w:rPr>
          <w:rFonts w:ascii="Gill Sans MT" w:hAnsi="Gill Sans MT" w:cs="Arial"/>
          <w:b/>
          <w:sz w:val="24"/>
          <w:szCs w:val="24"/>
        </w:rPr>
        <w:t xml:space="preserve"> Ending September 30, 2009:</w:t>
      </w:r>
    </w:p>
    <w:p w:rsidR="004D105C" w:rsidRDefault="004D105C" w:rsidP="004D105C">
      <w:pPr>
        <w:numPr>
          <w:ilvl w:val="0"/>
          <w:numId w:val="2"/>
        </w:numPr>
        <w:rPr>
          <w:rFonts w:ascii="Gill Sans MT" w:hAnsi="Gill Sans MT" w:cs="Arial"/>
          <w:b/>
          <w:sz w:val="24"/>
          <w:szCs w:val="24"/>
        </w:rPr>
      </w:pPr>
      <w:r>
        <w:rPr>
          <w:rFonts w:ascii="Gill Sans MT" w:hAnsi="Gill Sans MT" w:cs="Arial"/>
          <w:b/>
          <w:sz w:val="24"/>
          <w:szCs w:val="24"/>
        </w:rPr>
        <w:t>Establish existence as Committee</w:t>
      </w:r>
    </w:p>
    <w:p w:rsidR="004D105C" w:rsidRDefault="00971862" w:rsidP="004D105C">
      <w:pPr>
        <w:numPr>
          <w:ilvl w:val="0"/>
          <w:numId w:val="2"/>
        </w:numPr>
        <w:rPr>
          <w:rFonts w:ascii="Gill Sans MT" w:hAnsi="Gill Sans MT" w:cs="Arial"/>
          <w:b/>
          <w:sz w:val="24"/>
          <w:szCs w:val="24"/>
        </w:rPr>
      </w:pPr>
      <w:r>
        <w:rPr>
          <w:rFonts w:ascii="Gill Sans MT" w:hAnsi="Gill Sans MT" w:cs="Arial"/>
          <w:b/>
          <w:sz w:val="24"/>
          <w:szCs w:val="24"/>
        </w:rPr>
        <w:t>Build relationships among all family service providers</w:t>
      </w:r>
    </w:p>
    <w:p w:rsidR="004D105C" w:rsidRPr="004D105C" w:rsidRDefault="004D105C" w:rsidP="004D105C">
      <w:pPr>
        <w:numPr>
          <w:ilvl w:val="0"/>
          <w:numId w:val="2"/>
        </w:numPr>
        <w:rPr>
          <w:rFonts w:ascii="Gill Sans MT" w:hAnsi="Gill Sans MT" w:cs="Arial"/>
          <w:b/>
          <w:sz w:val="24"/>
          <w:szCs w:val="24"/>
        </w:rPr>
      </w:pPr>
      <w:r>
        <w:rPr>
          <w:rFonts w:ascii="Gill Sans MT" w:hAnsi="Gill Sans MT" w:cs="Arial"/>
          <w:b/>
          <w:sz w:val="24"/>
          <w:szCs w:val="24"/>
        </w:rPr>
        <w:t>Increase collaboration across region and by county</w:t>
      </w:r>
    </w:p>
    <w:tbl>
      <w:tblPr>
        <w:tblpPr w:leftFromText="180" w:rightFromText="180" w:vertAnchor="text" w:horzAnchor="margin" w:tblpY="-734"/>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5"/>
      </w:tblGrid>
      <w:tr w:rsidR="00D8006A" w:rsidTr="00D8006A">
        <w:trPr>
          <w:trHeight w:val="668"/>
        </w:trPr>
        <w:tc>
          <w:tcPr>
            <w:tcW w:w="8545" w:type="dxa"/>
          </w:tcPr>
          <w:p w:rsidR="00D8006A" w:rsidRDefault="00D8006A" w:rsidP="00D8006A"/>
          <w:p w:rsidR="00D8006A" w:rsidRPr="00F24329" w:rsidRDefault="00D8006A" w:rsidP="00D8006A">
            <w:pPr>
              <w:rPr>
                <w:rFonts w:ascii="Gill Sans MT" w:hAnsi="Gill Sans MT"/>
              </w:rPr>
            </w:pPr>
            <w:r>
              <w:rPr>
                <w:rFonts w:ascii="Gill Sans MT" w:hAnsi="Gill Sans MT"/>
              </w:rPr>
              <w:t>We have achieved a significant success most recently in the adoption of regional guidelines and a release form in the service of at-risk and homeless families.  We are aiming for the “no wrong door” goal and we got one significant step closer by enabling providers to exchange information about at-risk families to get to the best match of resources to need.  Consistent eligibility guidelines will also make it easier to merge resources when appropriate.</w:t>
            </w:r>
          </w:p>
          <w:p w:rsidR="00D8006A" w:rsidRDefault="00D8006A" w:rsidP="00D8006A"/>
          <w:p w:rsidR="00D8006A" w:rsidRDefault="00D8006A" w:rsidP="00D8006A"/>
          <w:p w:rsidR="00D8006A" w:rsidRDefault="00D8006A" w:rsidP="00D8006A"/>
          <w:p w:rsidR="00D8006A" w:rsidRDefault="00D8006A" w:rsidP="00D8006A"/>
        </w:tc>
      </w:tr>
    </w:tbl>
    <w:p w:rsidR="004D105C" w:rsidRDefault="004D105C" w:rsidP="004D105C">
      <w:pPr>
        <w:rPr>
          <w:rFonts w:ascii="Gill Sans MT" w:hAnsi="Gill Sans MT" w:cs="Arial"/>
          <w:b/>
          <w:sz w:val="16"/>
          <w:szCs w:val="16"/>
        </w:rPr>
      </w:pPr>
    </w:p>
    <w:p w:rsidR="004D105C" w:rsidRDefault="004D105C" w:rsidP="004D105C">
      <w:pPr>
        <w:rPr>
          <w:rFonts w:ascii="Gill Sans MT" w:hAnsi="Gill Sans MT" w:cs="Arial"/>
          <w:b/>
          <w:sz w:val="16"/>
          <w:szCs w:val="16"/>
        </w:rPr>
      </w:pPr>
    </w:p>
    <w:p w:rsidR="00D8006A" w:rsidRPr="00F24329" w:rsidRDefault="00D8006A" w:rsidP="00D8006A">
      <w:pPr>
        <w:framePr w:hSpace="180" w:wrap="around" w:vAnchor="page" w:hAnchor="page" w:x="466" w:y="13979"/>
        <w:ind w:left="720"/>
        <w:rPr>
          <w:rFonts w:ascii="Gill Sans MT" w:hAnsi="Gill Sans MT"/>
          <w:b/>
          <w:sz w:val="16"/>
          <w:szCs w:val="16"/>
        </w:rPr>
      </w:pPr>
    </w:p>
    <w:p w:rsidR="00D8006A" w:rsidRPr="00F24329" w:rsidRDefault="00D8006A" w:rsidP="00D8006A">
      <w:pPr>
        <w:framePr w:hSpace="180" w:wrap="around" w:vAnchor="page" w:hAnchor="page" w:x="466" w:y="13979"/>
        <w:ind w:left="720"/>
        <w:rPr>
          <w:rFonts w:ascii="Gill Sans MT" w:hAnsi="Gill Sans MT"/>
          <w:b/>
          <w:sz w:val="16"/>
          <w:szCs w:val="16"/>
        </w:rPr>
      </w:pPr>
    </w:p>
    <w:p w:rsidR="004D105C" w:rsidRDefault="004D105C" w:rsidP="004D105C"/>
    <w:sectPr w:rsidR="004D105C" w:rsidSect="00211B3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ill Sans MT">
    <w:altName w:val="Century Gothic"/>
    <w:charset w:val="00"/>
    <w:family w:val="swiss"/>
    <w:pitch w:val="variable"/>
    <w:sig w:usb0="00000001"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27D45"/>
    <w:multiLevelType w:val="hybridMultilevel"/>
    <w:tmpl w:val="37507A64"/>
    <w:lvl w:ilvl="0" w:tplc="3168D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C3574E"/>
    <w:multiLevelType w:val="hybridMultilevel"/>
    <w:tmpl w:val="E2C2B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105C"/>
    <w:rsid w:val="00211B30"/>
    <w:rsid w:val="004D105C"/>
    <w:rsid w:val="00971862"/>
    <w:rsid w:val="00D800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5C"/>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mela\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21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2</cp:revision>
  <dcterms:created xsi:type="dcterms:W3CDTF">2009-10-15T16:59:00Z</dcterms:created>
  <dcterms:modified xsi:type="dcterms:W3CDTF">2009-10-16T02:20:00Z</dcterms:modified>
</cp:coreProperties>
</file>