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80" w:rsidRPr="00DE7CDF" w:rsidRDefault="005A4680" w:rsidP="00DE7CDF">
      <w:pPr>
        <w:pStyle w:val="Heading2"/>
        <w:jc w:val="center"/>
        <w:rPr>
          <w:color w:val="808080" w:themeColor="background1" w:themeShade="80"/>
          <w:sz w:val="28"/>
          <w:szCs w:val="28"/>
        </w:rPr>
      </w:pPr>
      <w:r w:rsidRPr="00DE7CDF">
        <w:rPr>
          <w:color w:val="808080" w:themeColor="background1" w:themeShade="80"/>
          <w:sz w:val="28"/>
          <w:szCs w:val="28"/>
        </w:rPr>
        <w:t>HAMPDEN COUNTY CONTINUUM OF CARE</w:t>
      </w:r>
    </w:p>
    <w:p w:rsidR="004456C6" w:rsidRDefault="000F10B3" w:rsidP="004456C6">
      <w:pPr>
        <w:pStyle w:val="Title"/>
        <w:jc w:val="center"/>
        <w:outlineLvl w:val="0"/>
        <w:rPr>
          <w:rFonts w:asciiTheme="minorHAnsi" w:hAnsiTheme="minorHAnsi"/>
          <w:b/>
          <w:sz w:val="32"/>
          <w:szCs w:val="32"/>
        </w:rPr>
      </w:pPr>
      <w:r>
        <w:rPr>
          <w:rFonts w:asciiTheme="minorHAnsi" w:hAnsiTheme="minorHAnsi"/>
          <w:b/>
          <w:sz w:val="32"/>
          <w:szCs w:val="32"/>
        </w:rPr>
        <w:t xml:space="preserve">CoC Application </w:t>
      </w:r>
      <w:r w:rsidR="005A4680">
        <w:rPr>
          <w:rFonts w:asciiTheme="minorHAnsi" w:hAnsiTheme="minorHAnsi"/>
          <w:b/>
          <w:sz w:val="32"/>
          <w:szCs w:val="32"/>
        </w:rPr>
        <w:t xml:space="preserve">Selection </w:t>
      </w:r>
      <w:r w:rsidR="00954AB0">
        <w:rPr>
          <w:rFonts w:asciiTheme="minorHAnsi" w:hAnsiTheme="minorHAnsi"/>
          <w:b/>
          <w:sz w:val="32"/>
          <w:szCs w:val="32"/>
        </w:rPr>
        <w:t xml:space="preserve">and Ranking </w:t>
      </w:r>
      <w:r w:rsidR="005A4680">
        <w:rPr>
          <w:rFonts w:asciiTheme="minorHAnsi" w:hAnsiTheme="minorHAnsi"/>
          <w:b/>
          <w:sz w:val="32"/>
          <w:szCs w:val="32"/>
        </w:rPr>
        <w:t>Process 2013</w:t>
      </w:r>
    </w:p>
    <w:p w:rsidR="00662295" w:rsidRDefault="00662295" w:rsidP="00C562DC">
      <w:pPr>
        <w:tabs>
          <w:tab w:val="left" w:pos="885"/>
        </w:tabs>
        <w:jc w:val="both"/>
      </w:pPr>
      <w:r w:rsidRPr="00662295">
        <w:t>The Hampden County Continuum of Care</w:t>
      </w:r>
      <w:r>
        <w:t xml:space="preserve"> will submit a collaborative application for HUD Continuum of Care Homeless Assistance Program funds on February 3, 2014.  </w:t>
      </w:r>
      <w:r w:rsidR="00A57786">
        <w:t>The amount needed to renew all existing CoC programs (Annual Renewal Demand) is $2,245,706.  This year’s grant framew</w:t>
      </w:r>
      <w:bookmarkStart w:id="0" w:name="_GoBack"/>
      <w:bookmarkEnd w:id="0"/>
      <w:r w:rsidR="00A57786">
        <w:t xml:space="preserve">ork provides that the CoC will receive a minimum of $2,133,420 for programs (5% less than the Annual Renewal Demand); any funds above this amount will only be available if the CoC achieves a minimum threshold score in the CoC competition, </w:t>
      </w:r>
      <w:r w:rsidR="00A57786" w:rsidRPr="00A57786">
        <w:rPr>
          <w:i/>
        </w:rPr>
        <w:t>and</w:t>
      </w:r>
      <w:r w:rsidR="00A57786">
        <w:t xml:space="preserve"> if there are sufficient HUD funds available.</w:t>
      </w:r>
    </w:p>
    <w:p w:rsidR="00B8314A" w:rsidRPr="00595C47" w:rsidRDefault="00595C47" w:rsidP="00595C47">
      <w:pPr>
        <w:tabs>
          <w:tab w:val="left" w:pos="990"/>
        </w:tabs>
        <w:spacing w:before="240"/>
        <w:rPr>
          <w:b/>
          <w:color w:val="1F497D" w:themeColor="text2"/>
        </w:rPr>
      </w:pPr>
      <w:r w:rsidRPr="00595C47">
        <w:rPr>
          <w:b/>
          <w:color w:val="1F497D" w:themeColor="text2"/>
        </w:rPr>
        <w:t>BACKGROUND</w:t>
      </w:r>
    </w:p>
    <w:p w:rsidR="00C562DC" w:rsidRDefault="00B8314A" w:rsidP="00044437">
      <w:pPr>
        <w:tabs>
          <w:tab w:val="left" w:pos="990"/>
        </w:tabs>
        <w:jc w:val="both"/>
      </w:pPr>
      <w:r w:rsidRPr="00B8314A">
        <w:t>The US Department of Housing and Urban Development (HUD) released the Continuum of Care (COC) Notice of Funding Availabil</w:t>
      </w:r>
      <w:r>
        <w:t>ity (NOFA) on November 22, 2013 for FY13 and FY14</w:t>
      </w:r>
      <w:r w:rsidR="0036624F">
        <w:t xml:space="preserve">; the NOFA is available at </w:t>
      </w:r>
      <w:hyperlink r:id="rId9" w:history="1">
        <w:r>
          <w:rPr>
            <w:rStyle w:val="Hyperlink"/>
          </w:rPr>
          <w:t>https://www.onecpd.info/resources/documents/FY2013-2014CoCProgramNOFA.pdf</w:t>
        </w:r>
      </w:hyperlink>
      <w:r>
        <w:t xml:space="preserve">.  </w:t>
      </w:r>
    </w:p>
    <w:p w:rsidR="00044437" w:rsidRPr="00B8314A" w:rsidRDefault="00B8314A" w:rsidP="00044437">
      <w:pPr>
        <w:tabs>
          <w:tab w:val="left" w:pos="990"/>
        </w:tabs>
        <w:jc w:val="both"/>
      </w:pPr>
      <w:r>
        <w:t xml:space="preserve">The </w:t>
      </w:r>
      <w:r w:rsidR="00A57786">
        <w:t xml:space="preserve">Hampden County CoC will decide which projects to submit to HUD for funding.  The CoC will use a competitive process to select among newly-proposed projects and existing projects seeking renewal funds.  The only types of projects that will be considered for </w:t>
      </w:r>
      <w:r w:rsidR="00A57786" w:rsidRPr="00EC7EF0">
        <w:rPr>
          <w:u w:val="single"/>
        </w:rPr>
        <w:t>new</w:t>
      </w:r>
      <w:r w:rsidR="00A57786">
        <w:t xml:space="preserve"> funding are </w:t>
      </w:r>
      <w:r>
        <w:t xml:space="preserve">1) permanent supportive housing </w:t>
      </w:r>
      <w:r w:rsidR="00044437">
        <w:t xml:space="preserve">(PSH) </w:t>
      </w:r>
      <w:r>
        <w:t xml:space="preserve">for the chronically homeless; and 2) rapid rehousing </w:t>
      </w:r>
      <w:r w:rsidR="00044437">
        <w:t xml:space="preserve">(RRH) </w:t>
      </w:r>
      <w:r>
        <w:t xml:space="preserve">assistance for </w:t>
      </w:r>
      <w:r w:rsidR="00EC7EF0">
        <w:t xml:space="preserve">households with children (“families”) </w:t>
      </w:r>
      <w:r>
        <w:t>experiencing homelessness.</w:t>
      </w:r>
    </w:p>
    <w:p w:rsidR="00C562DC" w:rsidRDefault="00C562DC" w:rsidP="00C562DC">
      <w:pPr>
        <w:tabs>
          <w:tab w:val="left" w:pos="990"/>
        </w:tabs>
        <w:rPr>
          <w:b/>
          <w:color w:val="1F497D" w:themeColor="text2"/>
        </w:rPr>
      </w:pPr>
      <w:r>
        <w:rPr>
          <w:b/>
          <w:color w:val="1F497D" w:themeColor="text2"/>
        </w:rPr>
        <w:t xml:space="preserve">SCORING, SELECTION AND </w:t>
      </w:r>
      <w:r w:rsidR="00595C47" w:rsidRPr="00595C47">
        <w:rPr>
          <w:b/>
          <w:color w:val="1F497D" w:themeColor="text2"/>
        </w:rPr>
        <w:t xml:space="preserve">RANKING </w:t>
      </w:r>
    </w:p>
    <w:p w:rsidR="00044437" w:rsidRDefault="00044437" w:rsidP="00C562DC">
      <w:pPr>
        <w:tabs>
          <w:tab w:val="left" w:pos="990"/>
        </w:tabs>
        <w:jc w:val="both"/>
      </w:pPr>
      <w:r>
        <w:t xml:space="preserve">The Hampden County CoC will </w:t>
      </w:r>
      <w:r w:rsidR="00C562DC">
        <w:t xml:space="preserve">issue a Request for Proposals, seeking </w:t>
      </w:r>
      <w:r>
        <w:t xml:space="preserve">applications for new and renewal projects, and all complete and eligible applications will be scored by </w:t>
      </w:r>
      <w:r w:rsidR="00C562DC">
        <w:t xml:space="preserve">the CoC Application Committee, using a scoring </w:t>
      </w:r>
      <w:r>
        <w:t xml:space="preserve">rubric </w:t>
      </w:r>
      <w:r w:rsidR="00C562DC">
        <w:t>developed by the Committee and attached to this guidance.</w:t>
      </w:r>
      <w:r w:rsidR="0057423C">
        <w:t xml:space="preserve">  Scores will determine each </w:t>
      </w:r>
      <w:proofErr w:type="gramStart"/>
      <w:r w:rsidR="0057423C">
        <w:t>projects</w:t>
      </w:r>
      <w:r w:rsidR="00C562DC">
        <w:t>’</w:t>
      </w:r>
      <w:proofErr w:type="gramEnd"/>
      <w:r w:rsidR="0057423C">
        <w:t xml:space="preserve"> rank in the </w:t>
      </w:r>
      <w:r w:rsidR="00C562DC">
        <w:t xml:space="preserve">CoC’s </w:t>
      </w:r>
      <w:r w:rsidR="0057423C">
        <w:t>application</w:t>
      </w:r>
      <w:r w:rsidR="00C562DC">
        <w:t xml:space="preserve"> to HUD</w:t>
      </w:r>
      <w:r w:rsidR="0057423C">
        <w:t xml:space="preserve">, and rank will determine placement into Tier 1 (which will be fully funded by HUD) and Tier 2 (which will only be funded if </w:t>
      </w:r>
      <w:r w:rsidR="00C562DC">
        <w:t xml:space="preserve">the CoC as a whole scores competitively and if </w:t>
      </w:r>
      <w:r w:rsidR="0057423C">
        <w:t>there are sufficient resources).</w:t>
      </w:r>
    </w:p>
    <w:p w:rsidR="00044437" w:rsidRDefault="00044437" w:rsidP="0057423C">
      <w:pPr>
        <w:tabs>
          <w:tab w:val="left" w:pos="990"/>
        </w:tabs>
        <w:jc w:val="both"/>
      </w:pPr>
      <w:r>
        <w:t xml:space="preserve">The scoring rubric promotes certain best practices or practices that will </w:t>
      </w:r>
      <w:r w:rsidR="0072103B">
        <w:t xml:space="preserve">improve our local response to homelessness, align our response with national policies and best practices, and </w:t>
      </w:r>
      <w:r>
        <w:t>make our CoC application to HUD more competitive.  These include:</w:t>
      </w:r>
    </w:p>
    <w:p w:rsidR="00D311CA" w:rsidRDefault="0072103B" w:rsidP="0057423C">
      <w:pPr>
        <w:pStyle w:val="ListParagraph"/>
        <w:numPr>
          <w:ilvl w:val="0"/>
          <w:numId w:val="4"/>
        </w:numPr>
        <w:tabs>
          <w:tab w:val="left" w:pos="990"/>
        </w:tabs>
        <w:jc w:val="both"/>
      </w:pPr>
      <w:r>
        <w:t xml:space="preserve">Targeting permanent supportive housing to </w:t>
      </w:r>
      <w:r w:rsidR="00D311CA">
        <w:t>chronically homeless</w:t>
      </w:r>
      <w:r>
        <w:t xml:space="preserve"> and rapid rehousing to homeless families</w:t>
      </w:r>
      <w:r w:rsidR="00D311CA">
        <w:t>;</w:t>
      </w:r>
    </w:p>
    <w:p w:rsidR="00D311CA" w:rsidRDefault="0072103B" w:rsidP="0057423C">
      <w:pPr>
        <w:pStyle w:val="ListParagraph"/>
        <w:numPr>
          <w:ilvl w:val="0"/>
          <w:numId w:val="4"/>
        </w:numPr>
        <w:tabs>
          <w:tab w:val="left" w:pos="990"/>
        </w:tabs>
        <w:jc w:val="both"/>
      </w:pPr>
      <w:r>
        <w:t xml:space="preserve">Using a </w:t>
      </w:r>
      <w:r w:rsidR="00D311CA">
        <w:t>Housing First model</w:t>
      </w:r>
      <w:r w:rsidR="00921CCB">
        <w:t xml:space="preserve"> </w:t>
      </w:r>
      <w:r>
        <w:t>and evidence-based practices</w:t>
      </w:r>
      <w:r w:rsidR="00044437">
        <w:t>;</w:t>
      </w:r>
    </w:p>
    <w:p w:rsidR="00044437" w:rsidRDefault="0072103B" w:rsidP="0057423C">
      <w:pPr>
        <w:pStyle w:val="ListParagraph"/>
        <w:numPr>
          <w:ilvl w:val="0"/>
          <w:numId w:val="4"/>
        </w:numPr>
        <w:tabs>
          <w:tab w:val="left" w:pos="990"/>
        </w:tabs>
        <w:jc w:val="both"/>
      </w:pPr>
      <w:r>
        <w:t>M</w:t>
      </w:r>
      <w:r w:rsidR="00044437">
        <w:t>eet</w:t>
      </w:r>
      <w:r>
        <w:t>ing</w:t>
      </w:r>
      <w:r w:rsidR="00044437">
        <w:t xml:space="preserve"> or exceed HUD performance standards;</w:t>
      </w:r>
    </w:p>
    <w:p w:rsidR="00044437" w:rsidRDefault="0072103B" w:rsidP="0057423C">
      <w:pPr>
        <w:pStyle w:val="ListParagraph"/>
        <w:numPr>
          <w:ilvl w:val="0"/>
          <w:numId w:val="4"/>
        </w:numPr>
        <w:tabs>
          <w:tab w:val="left" w:pos="990"/>
        </w:tabs>
        <w:jc w:val="both"/>
      </w:pPr>
      <w:r>
        <w:t>V</w:t>
      </w:r>
      <w:r w:rsidR="00044437">
        <w:t>oluntar</w:t>
      </w:r>
      <w:r>
        <w:t>y reduction of renewal project budgets</w:t>
      </w:r>
      <w:r w:rsidR="00044437">
        <w:t xml:space="preserve">; </w:t>
      </w:r>
    </w:p>
    <w:p w:rsidR="009A60C3" w:rsidRDefault="0072103B" w:rsidP="0057423C">
      <w:pPr>
        <w:pStyle w:val="ListParagraph"/>
        <w:numPr>
          <w:ilvl w:val="0"/>
          <w:numId w:val="4"/>
        </w:numPr>
        <w:tabs>
          <w:tab w:val="left" w:pos="990"/>
        </w:tabs>
        <w:jc w:val="both"/>
      </w:pPr>
      <w:r>
        <w:t xml:space="preserve">Leveraging other resources at a rate that </w:t>
      </w:r>
      <w:r w:rsidR="00921CCB">
        <w:t>exceed</w:t>
      </w:r>
      <w:r>
        <w:t>s</w:t>
      </w:r>
      <w:r w:rsidR="00921CCB">
        <w:t xml:space="preserve"> 175%</w:t>
      </w:r>
      <w:r w:rsidR="009A60C3">
        <w:t>; and</w:t>
      </w:r>
    </w:p>
    <w:p w:rsidR="00921CCB" w:rsidRDefault="009A60C3" w:rsidP="0057423C">
      <w:pPr>
        <w:pStyle w:val="ListParagraph"/>
        <w:numPr>
          <w:ilvl w:val="0"/>
          <w:numId w:val="4"/>
        </w:numPr>
        <w:tabs>
          <w:tab w:val="left" w:pos="990"/>
        </w:tabs>
        <w:jc w:val="both"/>
      </w:pPr>
      <w:r>
        <w:t>Projects that promote geographic diversity of programs throughout our CoC</w:t>
      </w:r>
      <w:r w:rsidR="00921CCB">
        <w:t>.</w:t>
      </w:r>
    </w:p>
    <w:p w:rsidR="00B8314A" w:rsidRDefault="009A60C3" w:rsidP="00A24BAB">
      <w:pPr>
        <w:tabs>
          <w:tab w:val="left" w:pos="990"/>
        </w:tabs>
        <w:jc w:val="both"/>
      </w:pPr>
      <w:r>
        <w:lastRenderedPageBreak/>
        <w:t>The process for considering projects will include the following</w:t>
      </w:r>
      <w:r w:rsidR="00D311CA">
        <w:t>:</w:t>
      </w:r>
    </w:p>
    <w:p w:rsidR="00D311CA" w:rsidRDefault="00D311CA" w:rsidP="00A24BAB">
      <w:pPr>
        <w:pStyle w:val="ListParagraph"/>
        <w:numPr>
          <w:ilvl w:val="0"/>
          <w:numId w:val="3"/>
        </w:numPr>
        <w:tabs>
          <w:tab w:val="left" w:pos="990"/>
        </w:tabs>
        <w:jc w:val="both"/>
      </w:pPr>
      <w:r>
        <w:t>A threshold requirement that submissions required in this guidance are complete and timely</w:t>
      </w:r>
      <w:r w:rsidR="00921CCB">
        <w:t xml:space="preserve"> (failure to meet this requirement will  result in project not being scored)</w:t>
      </w:r>
      <w:r>
        <w:t>;</w:t>
      </w:r>
    </w:p>
    <w:p w:rsidR="00D311CA" w:rsidRDefault="00D311CA" w:rsidP="00A24BAB">
      <w:pPr>
        <w:pStyle w:val="ListParagraph"/>
        <w:numPr>
          <w:ilvl w:val="0"/>
          <w:numId w:val="3"/>
        </w:numPr>
        <w:tabs>
          <w:tab w:val="left" w:pos="990"/>
        </w:tabs>
        <w:jc w:val="both"/>
      </w:pPr>
      <w:r>
        <w:t>Project scoring, to be applied to both renewal and new projects;</w:t>
      </w:r>
    </w:p>
    <w:p w:rsidR="00D311CA" w:rsidRDefault="00D311CA" w:rsidP="00A24BAB">
      <w:pPr>
        <w:pStyle w:val="ListParagraph"/>
        <w:numPr>
          <w:ilvl w:val="0"/>
          <w:numId w:val="3"/>
        </w:numPr>
        <w:tabs>
          <w:tab w:val="left" w:pos="990"/>
        </w:tabs>
        <w:jc w:val="both"/>
      </w:pPr>
      <w:r w:rsidRPr="00921CCB">
        <w:t>Applicant interviews, that will be no longer than ½ hour and will be used for clarifying items that are part of the scoring.</w:t>
      </w:r>
    </w:p>
    <w:p w:rsidR="003C6E50" w:rsidRDefault="003C6E50" w:rsidP="003C6E50">
      <w:pPr>
        <w:jc w:val="both"/>
      </w:pPr>
      <w:r>
        <w:t>Once the committee completes the scoring, the committee may consider whether the initial scoring is likely to result in any critical service gaps and may make adjustments, but the rationale for any adjustments must be recorded and made public with the published ratings and rankings.</w:t>
      </w:r>
    </w:p>
    <w:p w:rsidR="000823AC" w:rsidRDefault="0057423C" w:rsidP="00A24BAB">
      <w:pPr>
        <w:tabs>
          <w:tab w:val="left" w:pos="990"/>
        </w:tabs>
        <w:jc w:val="both"/>
      </w:pPr>
      <w:r>
        <w:t xml:space="preserve">Project </w:t>
      </w:r>
      <w:r w:rsidR="009A60C3">
        <w:t xml:space="preserve">selections, </w:t>
      </w:r>
      <w:r>
        <w:t>rankings and t</w:t>
      </w:r>
      <w:r w:rsidR="000823AC">
        <w:t>ier allocations will be published on the following websites no later than 5:00 pm on January 17, 2014:</w:t>
      </w:r>
    </w:p>
    <w:p w:rsidR="000823AC" w:rsidRDefault="000823AC" w:rsidP="00A24BAB">
      <w:pPr>
        <w:pStyle w:val="ListParagraph"/>
        <w:numPr>
          <w:ilvl w:val="0"/>
          <w:numId w:val="5"/>
        </w:numPr>
        <w:tabs>
          <w:tab w:val="left" w:pos="990"/>
        </w:tabs>
        <w:jc w:val="both"/>
      </w:pPr>
      <w:r>
        <w:t xml:space="preserve">City of Springfield Office of Housing, </w:t>
      </w:r>
      <w:hyperlink r:id="rId10" w:history="1">
        <w:r w:rsidR="00A24BAB" w:rsidRPr="000327BC">
          <w:rPr>
            <w:rStyle w:val="Hyperlink"/>
          </w:rPr>
          <w:t>http://www3.springfield-ma.gov/housing</w:t>
        </w:r>
      </w:hyperlink>
    </w:p>
    <w:p w:rsidR="000823AC" w:rsidRDefault="000823AC" w:rsidP="00A24BAB">
      <w:pPr>
        <w:pStyle w:val="ListParagraph"/>
        <w:numPr>
          <w:ilvl w:val="0"/>
          <w:numId w:val="5"/>
        </w:numPr>
        <w:tabs>
          <w:tab w:val="left" w:pos="990"/>
        </w:tabs>
      </w:pPr>
      <w:r>
        <w:t xml:space="preserve">Western Mass Network to End Homelessness, </w:t>
      </w:r>
      <w:hyperlink r:id="rId11" w:history="1">
        <w:r w:rsidRPr="00502151">
          <w:rPr>
            <w:rStyle w:val="Hyperlink"/>
          </w:rPr>
          <w:t>http://westernmasshousingfirst.org/coc/hampden-coc</w:t>
        </w:r>
      </w:hyperlink>
    </w:p>
    <w:p w:rsidR="000823AC" w:rsidRDefault="000823AC" w:rsidP="00A24BAB">
      <w:pPr>
        <w:tabs>
          <w:tab w:val="left" w:pos="990"/>
        </w:tabs>
        <w:jc w:val="both"/>
      </w:pPr>
      <w:r>
        <w:t xml:space="preserve">Applicants (new and renewal) will have the opportunity to appeal the CoC Application Committee’s Project </w:t>
      </w:r>
      <w:r w:rsidR="009A60C3">
        <w:t xml:space="preserve">Selections, </w:t>
      </w:r>
      <w:r>
        <w:t>Rankings and Tier Allocations</w:t>
      </w:r>
      <w:r w:rsidR="0057423C">
        <w:t xml:space="preserve"> by submitting a written letter of appeal by </w:t>
      </w:r>
      <w:r w:rsidR="00A24BAB">
        <w:t xml:space="preserve">5 pm on </w:t>
      </w:r>
      <w:r w:rsidR="0057423C">
        <w:t>January 24, 2013</w:t>
      </w:r>
      <w:r>
        <w:t xml:space="preserve"> </w:t>
      </w:r>
      <w:r w:rsidR="00A24BAB">
        <w:t xml:space="preserve">to Geraldine McCafferty, </w:t>
      </w:r>
      <w:hyperlink r:id="rId12" w:history="1">
        <w:r w:rsidR="00A24BAB" w:rsidRPr="000327BC">
          <w:rPr>
            <w:rStyle w:val="Hyperlink"/>
          </w:rPr>
          <w:t>gmccafferty@springfieldcityhall.com</w:t>
        </w:r>
      </w:hyperlink>
      <w:r w:rsidR="00A24BAB">
        <w:t>, 1600 E. Columbus Ave., Springfield, MA 01103.</w:t>
      </w:r>
    </w:p>
    <w:p w:rsidR="003C6E50" w:rsidRDefault="003C6E50" w:rsidP="003C6E50">
      <w:pPr>
        <w:tabs>
          <w:tab w:val="left" w:pos="540"/>
        </w:tabs>
        <w:rPr>
          <w:b/>
          <w:color w:val="1F497D" w:themeColor="text2"/>
        </w:rPr>
      </w:pPr>
      <w:r>
        <w:rPr>
          <w:b/>
          <w:color w:val="1F497D" w:themeColor="text2"/>
        </w:rPr>
        <w:t>COC APPLICATION COMMITTEE</w:t>
      </w:r>
    </w:p>
    <w:p w:rsidR="006D2CD1" w:rsidRDefault="006D2CD1" w:rsidP="003C6E50">
      <w:pPr>
        <w:tabs>
          <w:tab w:val="left" w:pos="540"/>
        </w:tabs>
      </w:pPr>
      <w:r w:rsidRPr="006A3338">
        <w:t xml:space="preserve">The CoC Application Committee </w:t>
      </w:r>
      <w:r w:rsidR="00C562DC">
        <w:t xml:space="preserve">is made up of persons who </w:t>
      </w:r>
      <w:r w:rsidRPr="006A3338">
        <w:t xml:space="preserve">are knowledgeable about homelessness and housing in the area and who are representative of the relevant sectors, subpopulations, and geographic areas.  </w:t>
      </w:r>
      <w:r>
        <w:t xml:space="preserve">No individual associated with an applicant agency may serve on the </w:t>
      </w:r>
      <w:r w:rsidR="00C562DC">
        <w:t>CoC Application Committee</w:t>
      </w:r>
      <w:r>
        <w:t>.</w:t>
      </w:r>
    </w:p>
    <w:p w:rsidR="00662295" w:rsidRPr="00595C47" w:rsidRDefault="00595C47" w:rsidP="00595C47">
      <w:pPr>
        <w:rPr>
          <w:b/>
          <w:color w:val="1F497D" w:themeColor="text2"/>
        </w:rPr>
      </w:pPr>
      <w:r w:rsidRPr="00595C47">
        <w:rPr>
          <w:b/>
          <w:color w:val="1F497D" w:themeColor="text2"/>
        </w:rPr>
        <w:t>TIMELINE</w:t>
      </w:r>
    </w:p>
    <w:p w:rsidR="009E0147" w:rsidRDefault="009E0147" w:rsidP="0069780C">
      <w:pPr>
        <w:spacing w:after="0"/>
        <w:rPr>
          <w:b/>
        </w:rPr>
      </w:pPr>
      <w:r>
        <w:rPr>
          <w:b/>
        </w:rPr>
        <w:t>Dec</w:t>
      </w:r>
      <w:r w:rsidR="006137D7">
        <w:rPr>
          <w:b/>
        </w:rPr>
        <w:t>.</w:t>
      </w:r>
      <w:r w:rsidR="00EC7EF0">
        <w:rPr>
          <w:b/>
        </w:rPr>
        <w:t xml:space="preserve"> 12</w:t>
      </w:r>
      <w:r>
        <w:rPr>
          <w:b/>
        </w:rPr>
        <w:t>, 2013</w:t>
      </w:r>
      <w:r>
        <w:rPr>
          <w:b/>
        </w:rPr>
        <w:tab/>
      </w:r>
      <w:r w:rsidR="006137D7">
        <w:rPr>
          <w:b/>
        </w:rPr>
        <w:tab/>
      </w:r>
      <w:r>
        <w:rPr>
          <w:b/>
        </w:rPr>
        <w:t xml:space="preserve">Hampden County </w:t>
      </w:r>
      <w:r w:rsidR="0036175D">
        <w:rPr>
          <w:b/>
        </w:rPr>
        <w:t xml:space="preserve">CoC </w:t>
      </w:r>
      <w:r>
        <w:rPr>
          <w:b/>
        </w:rPr>
        <w:t>Request for Proposals released</w:t>
      </w:r>
    </w:p>
    <w:p w:rsidR="009E0147" w:rsidRDefault="009E0147" w:rsidP="0069780C">
      <w:pPr>
        <w:spacing w:after="0"/>
        <w:rPr>
          <w:b/>
        </w:rPr>
      </w:pPr>
    </w:p>
    <w:p w:rsidR="0069780C" w:rsidRDefault="0036175D" w:rsidP="0069780C">
      <w:pPr>
        <w:spacing w:after="0"/>
        <w:rPr>
          <w:b/>
        </w:rPr>
      </w:pPr>
      <w:r>
        <w:rPr>
          <w:b/>
        </w:rPr>
        <w:t>Jan</w:t>
      </w:r>
      <w:r w:rsidR="006137D7">
        <w:rPr>
          <w:b/>
        </w:rPr>
        <w:t>.</w:t>
      </w:r>
      <w:r>
        <w:rPr>
          <w:b/>
        </w:rPr>
        <w:t xml:space="preserve"> 3, 2014</w:t>
      </w:r>
      <w:r w:rsidR="006137D7">
        <w:rPr>
          <w:b/>
        </w:rPr>
        <w:t>, noon</w:t>
      </w:r>
      <w:r w:rsidR="006137D7">
        <w:rPr>
          <w:b/>
        </w:rPr>
        <w:tab/>
      </w:r>
      <w:r w:rsidR="009E0147">
        <w:rPr>
          <w:b/>
        </w:rPr>
        <w:t>Deadline for Submittal of Complete Application for Rating and Ranking</w:t>
      </w:r>
    </w:p>
    <w:p w:rsidR="0069780C" w:rsidRDefault="006137D7" w:rsidP="009E0147">
      <w:pPr>
        <w:spacing w:after="0"/>
      </w:pPr>
      <w:r>
        <w:rPr>
          <w:b/>
        </w:rPr>
        <w:t xml:space="preserve">                  </w:t>
      </w:r>
      <w:r w:rsidR="0069780C">
        <w:rPr>
          <w:b/>
        </w:rPr>
        <w:tab/>
      </w:r>
      <w:r>
        <w:rPr>
          <w:b/>
        </w:rPr>
        <w:tab/>
      </w:r>
      <w:r w:rsidR="009E0147" w:rsidRPr="009E0147">
        <w:rPr>
          <w:u w:val="single"/>
        </w:rPr>
        <w:t>Renewal</w:t>
      </w:r>
      <w:r w:rsidR="009E0147" w:rsidRPr="009E0147">
        <w:rPr>
          <w:b/>
          <w:u w:val="single"/>
        </w:rPr>
        <w:t xml:space="preserve"> </w:t>
      </w:r>
      <w:r w:rsidR="009E0147" w:rsidRPr="009E0147">
        <w:rPr>
          <w:u w:val="single"/>
        </w:rPr>
        <w:t>applicants</w:t>
      </w:r>
      <w:r w:rsidR="009E0147" w:rsidRPr="009E0147">
        <w:t xml:space="preserve"> </w:t>
      </w:r>
      <w:r w:rsidR="009E0147">
        <w:t xml:space="preserve">must submit complete PDF of </w:t>
      </w:r>
      <w:r w:rsidR="009E0147" w:rsidRPr="009E0147">
        <w:rPr>
          <w:i/>
        </w:rPr>
        <w:t xml:space="preserve">esnaps </w:t>
      </w:r>
      <w:r w:rsidR="009E0147">
        <w:t>renewal application</w:t>
      </w:r>
    </w:p>
    <w:p w:rsidR="0048644A" w:rsidRDefault="009E0147" w:rsidP="009E0147">
      <w:pPr>
        <w:spacing w:after="0"/>
      </w:pPr>
      <w:r>
        <w:tab/>
      </w:r>
      <w:r>
        <w:tab/>
      </w:r>
      <w:r>
        <w:tab/>
      </w:r>
      <w:r w:rsidRPr="009E0147">
        <w:rPr>
          <w:u w:val="single"/>
        </w:rPr>
        <w:t>New applicants</w:t>
      </w:r>
      <w:r>
        <w:t xml:space="preserve"> must submit 5 copies of complete Project Application</w:t>
      </w:r>
    </w:p>
    <w:p w:rsidR="00A63D8B" w:rsidRDefault="00A63D8B" w:rsidP="009E0147">
      <w:pPr>
        <w:spacing w:after="0"/>
      </w:pPr>
    </w:p>
    <w:p w:rsidR="008C397C" w:rsidRDefault="009E0147" w:rsidP="008C397C">
      <w:r>
        <w:tab/>
      </w:r>
      <w:r>
        <w:tab/>
      </w:r>
      <w:r>
        <w:tab/>
        <w:t>ALL APPLICANTS must submit one of each of the following documents:</w:t>
      </w:r>
    </w:p>
    <w:p w:rsidR="008C397C" w:rsidRDefault="008C397C" w:rsidP="008C397C">
      <w:pPr>
        <w:pStyle w:val="ListParagraph"/>
        <w:numPr>
          <w:ilvl w:val="0"/>
          <w:numId w:val="15"/>
        </w:numPr>
        <w:autoSpaceDE w:val="0"/>
        <w:autoSpaceDN w:val="0"/>
        <w:adjustRightInd w:val="0"/>
        <w:spacing w:after="0"/>
        <w:jc w:val="both"/>
        <w:rPr>
          <w:bCs/>
          <w:iCs/>
        </w:rPr>
      </w:pPr>
      <w:r w:rsidRPr="008C397C">
        <w:rPr>
          <w:bCs/>
          <w:iCs/>
        </w:rPr>
        <w:t>Agency Articles of Incorporation;</w:t>
      </w:r>
    </w:p>
    <w:p w:rsidR="008C397C" w:rsidRDefault="008C397C" w:rsidP="008C397C">
      <w:pPr>
        <w:pStyle w:val="ListParagraph"/>
        <w:numPr>
          <w:ilvl w:val="0"/>
          <w:numId w:val="15"/>
        </w:numPr>
        <w:autoSpaceDE w:val="0"/>
        <w:autoSpaceDN w:val="0"/>
        <w:adjustRightInd w:val="0"/>
        <w:spacing w:after="0"/>
        <w:jc w:val="both"/>
        <w:rPr>
          <w:bCs/>
          <w:iCs/>
        </w:rPr>
      </w:pPr>
      <w:r w:rsidRPr="008C397C">
        <w:rPr>
          <w:bCs/>
          <w:iCs/>
        </w:rPr>
        <w:t xml:space="preserve">Minutes of Board of Directors meeting authorizing application  for new or renewal funding; </w:t>
      </w:r>
    </w:p>
    <w:p w:rsidR="008C397C" w:rsidRDefault="008C397C" w:rsidP="008C397C">
      <w:pPr>
        <w:pStyle w:val="ListParagraph"/>
        <w:numPr>
          <w:ilvl w:val="0"/>
          <w:numId w:val="15"/>
        </w:numPr>
        <w:autoSpaceDE w:val="0"/>
        <w:autoSpaceDN w:val="0"/>
        <w:adjustRightInd w:val="0"/>
        <w:spacing w:after="0"/>
        <w:jc w:val="both"/>
        <w:rPr>
          <w:bCs/>
          <w:iCs/>
        </w:rPr>
      </w:pPr>
      <w:r w:rsidRPr="008C397C">
        <w:rPr>
          <w:bCs/>
          <w:iCs/>
        </w:rPr>
        <w:t>Current List of Board of Directors with identification of Officers and terms;</w:t>
      </w:r>
    </w:p>
    <w:p w:rsidR="008C397C" w:rsidRPr="008C397C" w:rsidRDefault="008C397C" w:rsidP="008C397C">
      <w:pPr>
        <w:pStyle w:val="ListParagraph"/>
        <w:numPr>
          <w:ilvl w:val="0"/>
          <w:numId w:val="15"/>
        </w:numPr>
        <w:autoSpaceDE w:val="0"/>
        <w:autoSpaceDN w:val="0"/>
        <w:adjustRightInd w:val="0"/>
        <w:spacing w:after="0"/>
        <w:jc w:val="both"/>
        <w:rPr>
          <w:bCs/>
          <w:iCs/>
        </w:rPr>
      </w:pPr>
      <w:r w:rsidRPr="008C397C">
        <w:rPr>
          <w:bCs/>
          <w:iCs/>
        </w:rPr>
        <w:t>Certified Organization Audit/Financial Statements of most recent year :</w:t>
      </w:r>
    </w:p>
    <w:p w:rsidR="008C397C" w:rsidRDefault="008C397C" w:rsidP="008C397C">
      <w:pPr>
        <w:numPr>
          <w:ilvl w:val="1"/>
          <w:numId w:val="15"/>
        </w:numPr>
        <w:autoSpaceDE w:val="0"/>
        <w:autoSpaceDN w:val="0"/>
        <w:adjustRightInd w:val="0"/>
        <w:spacing w:after="0"/>
        <w:jc w:val="both"/>
        <w:rPr>
          <w:bCs/>
          <w:iCs/>
        </w:rPr>
      </w:pPr>
      <w:r w:rsidRPr="00A36B3B">
        <w:rPr>
          <w:bCs/>
          <w:iCs/>
        </w:rPr>
        <w:lastRenderedPageBreak/>
        <w:t>Copy of OMB A-133 Audit (Required if $</w:t>
      </w:r>
      <w:r>
        <w:rPr>
          <w:bCs/>
          <w:iCs/>
        </w:rPr>
        <w:t>500</w:t>
      </w:r>
      <w:r w:rsidRPr="00A36B3B">
        <w:rPr>
          <w:bCs/>
          <w:iCs/>
        </w:rPr>
        <w:t>,000 or more in aggregate Federal funds expended)</w:t>
      </w:r>
      <w:r>
        <w:rPr>
          <w:bCs/>
          <w:iCs/>
        </w:rPr>
        <w:t>;</w:t>
      </w:r>
      <w:r w:rsidRPr="00A36B3B">
        <w:rPr>
          <w:bCs/>
          <w:iCs/>
        </w:rPr>
        <w:t xml:space="preserve"> or</w:t>
      </w:r>
    </w:p>
    <w:p w:rsidR="008C397C" w:rsidRDefault="008C397C" w:rsidP="008C397C">
      <w:pPr>
        <w:numPr>
          <w:ilvl w:val="1"/>
          <w:numId w:val="15"/>
        </w:numPr>
        <w:autoSpaceDE w:val="0"/>
        <w:autoSpaceDN w:val="0"/>
        <w:adjustRightInd w:val="0"/>
        <w:spacing w:after="0"/>
        <w:jc w:val="both"/>
        <w:rPr>
          <w:bCs/>
          <w:iCs/>
        </w:rPr>
      </w:pPr>
      <w:r w:rsidRPr="008C397C">
        <w:rPr>
          <w:bCs/>
          <w:iCs/>
        </w:rPr>
        <w:t>Financial statements audited by a CPA (if not bound by the requirements of OMB A-133); or</w:t>
      </w:r>
    </w:p>
    <w:p w:rsidR="008C397C" w:rsidRDefault="008C397C" w:rsidP="008C397C">
      <w:pPr>
        <w:numPr>
          <w:ilvl w:val="1"/>
          <w:numId w:val="15"/>
        </w:numPr>
        <w:autoSpaceDE w:val="0"/>
        <w:autoSpaceDN w:val="0"/>
        <w:adjustRightInd w:val="0"/>
        <w:spacing w:after="0"/>
        <w:jc w:val="both"/>
        <w:rPr>
          <w:bCs/>
          <w:iCs/>
        </w:rPr>
      </w:pPr>
      <w:r w:rsidRPr="008C397C">
        <w:rPr>
          <w:bCs/>
          <w:iCs/>
        </w:rPr>
        <w:t>Profit and Loss statement (only first time applicants or those who do not meet above criteria may submit);</w:t>
      </w:r>
    </w:p>
    <w:p w:rsidR="008C397C" w:rsidRDefault="008C397C" w:rsidP="008C397C">
      <w:pPr>
        <w:pStyle w:val="ListParagraph"/>
        <w:numPr>
          <w:ilvl w:val="0"/>
          <w:numId w:val="19"/>
        </w:numPr>
        <w:autoSpaceDE w:val="0"/>
        <w:autoSpaceDN w:val="0"/>
        <w:adjustRightInd w:val="0"/>
        <w:spacing w:after="0"/>
        <w:ind w:left="2520"/>
        <w:jc w:val="both"/>
        <w:rPr>
          <w:bCs/>
          <w:iCs/>
        </w:rPr>
      </w:pPr>
      <w:r w:rsidRPr="008C397C">
        <w:rPr>
          <w:bCs/>
          <w:iCs/>
        </w:rPr>
        <w:t>IRS 501(c)(3) Designation Letter (if applicable);</w:t>
      </w:r>
    </w:p>
    <w:p w:rsidR="0048644A" w:rsidRPr="0048644A" w:rsidRDefault="0048644A" w:rsidP="0048644A">
      <w:pPr>
        <w:pStyle w:val="ListParagraph"/>
        <w:numPr>
          <w:ilvl w:val="0"/>
          <w:numId w:val="19"/>
        </w:numPr>
        <w:autoSpaceDE w:val="0"/>
        <w:autoSpaceDN w:val="0"/>
        <w:adjustRightInd w:val="0"/>
        <w:spacing w:after="0"/>
        <w:ind w:left="2520"/>
        <w:jc w:val="both"/>
        <w:rPr>
          <w:bCs/>
          <w:iCs/>
        </w:rPr>
      </w:pPr>
      <w:r w:rsidRPr="0048644A">
        <w:rPr>
          <w:bCs/>
          <w:iCs/>
        </w:rPr>
        <w:t>Agency Financial Management Policies and Procedures</w:t>
      </w:r>
      <w:r w:rsidR="00A63D8B">
        <w:rPr>
          <w:bCs/>
          <w:iCs/>
        </w:rPr>
        <w:t>;</w:t>
      </w:r>
    </w:p>
    <w:p w:rsidR="0048644A" w:rsidRPr="0048644A" w:rsidRDefault="0048644A" w:rsidP="0048644A">
      <w:pPr>
        <w:numPr>
          <w:ilvl w:val="0"/>
          <w:numId w:val="19"/>
        </w:numPr>
        <w:tabs>
          <w:tab w:val="left" w:pos="2520"/>
        </w:tabs>
        <w:autoSpaceDE w:val="0"/>
        <w:autoSpaceDN w:val="0"/>
        <w:adjustRightInd w:val="0"/>
        <w:spacing w:after="0"/>
        <w:ind w:left="2520"/>
        <w:jc w:val="both"/>
        <w:rPr>
          <w:bCs/>
          <w:iCs/>
        </w:rPr>
      </w:pPr>
      <w:r>
        <w:rPr>
          <w:bCs/>
          <w:iCs/>
        </w:rPr>
        <w:t>Agency Procurement Policies and Procedures</w:t>
      </w:r>
      <w:r w:rsidR="00A63D8B">
        <w:rPr>
          <w:bCs/>
          <w:iCs/>
        </w:rPr>
        <w:t>;</w:t>
      </w:r>
    </w:p>
    <w:p w:rsidR="008C397C" w:rsidRPr="005770E1" w:rsidRDefault="005770E1" w:rsidP="005770E1">
      <w:pPr>
        <w:pStyle w:val="ListParagraph"/>
        <w:numPr>
          <w:ilvl w:val="0"/>
          <w:numId w:val="16"/>
        </w:numPr>
        <w:tabs>
          <w:tab w:val="clear" w:pos="720"/>
          <w:tab w:val="num" w:pos="2520"/>
        </w:tabs>
        <w:autoSpaceDE w:val="0"/>
        <w:autoSpaceDN w:val="0"/>
        <w:adjustRightInd w:val="0"/>
        <w:spacing w:after="0" w:line="240" w:lineRule="auto"/>
        <w:ind w:left="2520"/>
        <w:jc w:val="both"/>
        <w:rPr>
          <w:bCs/>
          <w:iCs/>
        </w:rPr>
      </w:pPr>
      <w:r w:rsidRPr="005770E1">
        <w:rPr>
          <w:bCs/>
          <w:iCs/>
        </w:rPr>
        <w:t xml:space="preserve">The following completed forms: </w:t>
      </w:r>
      <w:r w:rsidR="008C397C" w:rsidRPr="005770E1">
        <w:rPr>
          <w:bCs/>
          <w:iCs/>
        </w:rPr>
        <w:t>Notarized Tax Certification Affidavit;</w:t>
      </w:r>
      <w:r w:rsidRPr="005770E1">
        <w:rPr>
          <w:bCs/>
          <w:iCs/>
        </w:rPr>
        <w:t xml:space="preserve"> </w:t>
      </w:r>
      <w:r w:rsidR="008C397C" w:rsidRPr="005770E1">
        <w:rPr>
          <w:bCs/>
          <w:iCs/>
        </w:rPr>
        <w:t>Conflict of Interest Statement;</w:t>
      </w:r>
      <w:r w:rsidRPr="005770E1">
        <w:rPr>
          <w:bCs/>
          <w:iCs/>
        </w:rPr>
        <w:t xml:space="preserve"> </w:t>
      </w:r>
      <w:r w:rsidR="008C397C" w:rsidRPr="005770E1">
        <w:rPr>
          <w:bCs/>
          <w:iCs/>
        </w:rPr>
        <w:t>Debarment Certificate; Internal Control Questionnaire; and</w:t>
      </w:r>
      <w:r w:rsidRPr="005770E1">
        <w:rPr>
          <w:bCs/>
          <w:iCs/>
        </w:rPr>
        <w:t xml:space="preserve"> </w:t>
      </w:r>
      <w:r w:rsidRPr="005770E1">
        <w:rPr>
          <w:rStyle w:val="Strong"/>
          <w:rFonts w:cstheme="minorHAnsi"/>
          <w:b w:val="0"/>
          <w:color w:val="auto"/>
        </w:rPr>
        <w:t>CoC Program Project Sponsor Certifications.</w:t>
      </w:r>
    </w:p>
    <w:p w:rsidR="0030265E" w:rsidRPr="0030265E" w:rsidRDefault="0048644A" w:rsidP="0030265E">
      <w:pPr>
        <w:pStyle w:val="ListParagraph"/>
        <w:numPr>
          <w:ilvl w:val="0"/>
          <w:numId w:val="19"/>
        </w:numPr>
        <w:autoSpaceDE w:val="0"/>
        <w:autoSpaceDN w:val="0"/>
        <w:adjustRightInd w:val="0"/>
        <w:spacing w:after="0"/>
        <w:ind w:left="2520"/>
        <w:jc w:val="both"/>
        <w:rPr>
          <w:bCs/>
          <w:iCs/>
        </w:rPr>
      </w:pPr>
      <w:r>
        <w:rPr>
          <w:bCs/>
          <w:iCs/>
        </w:rPr>
        <w:t>The following agency policies: Code of Conduct and Conflict of Interest; Drug-Free Workplace; Affirmatively Furthering Fair Housing; Reasonable Accommodation and Accessibility for Persons with Disabilities; Nondiscrimination and Equal Employment; and Confidentiality</w:t>
      </w:r>
      <w:r w:rsidR="008C397C" w:rsidRPr="008C397C">
        <w:rPr>
          <w:bCs/>
          <w:iCs/>
        </w:rPr>
        <w:t xml:space="preserve">. </w:t>
      </w:r>
    </w:p>
    <w:p w:rsidR="005770E1" w:rsidRDefault="0036175D" w:rsidP="005770E1">
      <w:pPr>
        <w:spacing w:before="120"/>
        <w:ind w:left="2160"/>
      </w:pPr>
      <w:r>
        <w:t xml:space="preserve">Submit </w:t>
      </w:r>
      <w:r w:rsidR="00D86970">
        <w:t xml:space="preserve">one copy of each of </w:t>
      </w:r>
      <w:r>
        <w:t>these materials to the following address</w:t>
      </w:r>
      <w:r w:rsidR="0030265E">
        <w:t xml:space="preserve">: </w:t>
      </w:r>
    </w:p>
    <w:p w:rsidR="005770E1" w:rsidRDefault="0036175D" w:rsidP="005770E1">
      <w:pPr>
        <w:spacing w:after="0"/>
        <w:ind w:left="2160" w:firstLine="720"/>
      </w:pPr>
      <w:r>
        <w:t>City of Springfield Office of Housing</w:t>
      </w:r>
    </w:p>
    <w:p w:rsidR="005770E1" w:rsidRDefault="0036175D" w:rsidP="005770E1">
      <w:pPr>
        <w:spacing w:after="0"/>
        <w:ind w:left="2160" w:firstLine="720"/>
      </w:pPr>
      <w:r>
        <w:t>1600 E. Columbus Ave.</w:t>
      </w:r>
    </w:p>
    <w:p w:rsidR="0036175D" w:rsidRDefault="0036175D" w:rsidP="005770E1">
      <w:pPr>
        <w:spacing w:after="240"/>
        <w:ind w:left="2160" w:firstLine="720"/>
      </w:pPr>
      <w:r>
        <w:t>Springfield, MA 01103</w:t>
      </w:r>
    </w:p>
    <w:p w:rsidR="0036175D" w:rsidRDefault="0036175D" w:rsidP="00A63D8B">
      <w:pPr>
        <w:spacing w:after="0"/>
        <w:jc w:val="both"/>
        <w:rPr>
          <w:b/>
        </w:rPr>
      </w:pPr>
      <w:r w:rsidRPr="0036175D">
        <w:rPr>
          <w:b/>
        </w:rPr>
        <w:t>Jan</w:t>
      </w:r>
      <w:r w:rsidR="006137D7">
        <w:rPr>
          <w:b/>
        </w:rPr>
        <w:t>.</w:t>
      </w:r>
      <w:r w:rsidRPr="0036175D">
        <w:rPr>
          <w:b/>
        </w:rPr>
        <w:t xml:space="preserve"> 10, 2014</w:t>
      </w:r>
      <w:r w:rsidR="00A63D8B">
        <w:rPr>
          <w:b/>
        </w:rPr>
        <w:t>, 4 pm</w:t>
      </w:r>
      <w:r w:rsidR="006137D7">
        <w:rPr>
          <w:b/>
        </w:rPr>
        <w:tab/>
      </w:r>
      <w:r>
        <w:rPr>
          <w:b/>
        </w:rPr>
        <w:t>Deadline for Submittal of Leverage Letters</w:t>
      </w:r>
    </w:p>
    <w:p w:rsidR="0036175D" w:rsidRDefault="0036175D" w:rsidP="00A63D8B">
      <w:pPr>
        <w:ind w:left="2160"/>
        <w:jc w:val="both"/>
      </w:pPr>
      <w:r w:rsidRPr="0036175D">
        <w:t xml:space="preserve">To be considered, letters must </w:t>
      </w:r>
      <w:r w:rsidR="00A63D8B">
        <w:t xml:space="preserve">submitted on time, must </w:t>
      </w:r>
      <w:r>
        <w:t>be dated on or after December 3, 2013, and must contain all information described in the attached Guidance on Match and Leverage.</w:t>
      </w:r>
    </w:p>
    <w:p w:rsidR="00A63D8B" w:rsidRPr="0036175D" w:rsidRDefault="00A63D8B" w:rsidP="00A63D8B">
      <w:pPr>
        <w:ind w:left="2160"/>
      </w:pPr>
      <w:r>
        <w:t>Submit the letters to the following address: City of Springfield Office of Housing, 1600 E. Columbus Ave., Springfield, MA 01103; Attention Gerry McCafferty.</w:t>
      </w:r>
    </w:p>
    <w:p w:rsidR="0069780C" w:rsidRDefault="0036175D" w:rsidP="00A63D8B">
      <w:pPr>
        <w:jc w:val="both"/>
        <w:rPr>
          <w:b/>
        </w:rPr>
      </w:pPr>
      <w:r>
        <w:rPr>
          <w:b/>
        </w:rPr>
        <w:t>Jan</w:t>
      </w:r>
      <w:r w:rsidR="006137D7">
        <w:rPr>
          <w:b/>
        </w:rPr>
        <w:t>.</w:t>
      </w:r>
      <w:r>
        <w:rPr>
          <w:b/>
        </w:rPr>
        <w:t xml:space="preserve"> 14 &amp;15</w:t>
      </w:r>
      <w:r w:rsidR="006137D7">
        <w:rPr>
          <w:b/>
        </w:rPr>
        <w:t>,</w:t>
      </w:r>
      <w:r w:rsidR="006137D7" w:rsidRPr="006137D7">
        <w:rPr>
          <w:b/>
        </w:rPr>
        <w:t xml:space="preserve"> </w:t>
      </w:r>
      <w:r w:rsidR="006137D7">
        <w:rPr>
          <w:b/>
        </w:rPr>
        <w:t>2014</w:t>
      </w:r>
      <w:r w:rsidR="006137D7">
        <w:rPr>
          <w:b/>
        </w:rPr>
        <w:tab/>
      </w:r>
      <w:r>
        <w:rPr>
          <w:b/>
        </w:rPr>
        <w:t>Rating &amp; Ranking Interviews</w:t>
      </w:r>
    </w:p>
    <w:p w:rsidR="0069780C" w:rsidRDefault="0069780C" w:rsidP="00A63D8B">
      <w:pPr>
        <w:spacing w:after="0"/>
        <w:jc w:val="both"/>
        <w:rPr>
          <w:b/>
        </w:rPr>
      </w:pPr>
      <w:r w:rsidRPr="0069780C">
        <w:rPr>
          <w:b/>
        </w:rPr>
        <w:t>Jan</w:t>
      </w:r>
      <w:r w:rsidR="006137D7">
        <w:rPr>
          <w:b/>
        </w:rPr>
        <w:t>.</w:t>
      </w:r>
      <w:r w:rsidRPr="0069780C">
        <w:rPr>
          <w:b/>
        </w:rPr>
        <w:t xml:space="preserve"> 17, 2014: </w:t>
      </w:r>
      <w:r>
        <w:rPr>
          <w:b/>
        </w:rPr>
        <w:tab/>
      </w:r>
      <w:r w:rsidR="006137D7">
        <w:rPr>
          <w:b/>
        </w:rPr>
        <w:tab/>
      </w:r>
      <w:r w:rsidR="00EC7EF0">
        <w:rPr>
          <w:b/>
        </w:rPr>
        <w:t xml:space="preserve">Notification </w:t>
      </w:r>
      <w:r>
        <w:rPr>
          <w:b/>
        </w:rPr>
        <w:t xml:space="preserve">of Funding Recommendations </w:t>
      </w:r>
    </w:p>
    <w:p w:rsidR="0069780C" w:rsidRDefault="0069780C" w:rsidP="00A63D8B">
      <w:pPr>
        <w:tabs>
          <w:tab w:val="left" w:pos="2160"/>
        </w:tabs>
        <w:ind w:left="2160"/>
        <w:jc w:val="both"/>
      </w:pPr>
      <w:r>
        <w:t>All applicants will be notified in writing</w:t>
      </w:r>
      <w:r w:rsidR="00A63D8B">
        <w:t xml:space="preserve"> of the results of the Rating and Ranking Process</w:t>
      </w:r>
      <w:r>
        <w:t>, and selections and rankings will be posted on the websites of the City of Springfield Office of Housing and the Western Massachusetts Network to End Homelessness.</w:t>
      </w:r>
    </w:p>
    <w:p w:rsidR="006137D7" w:rsidRDefault="006D2CD1" w:rsidP="00D97140">
      <w:pPr>
        <w:tabs>
          <w:tab w:val="left" w:pos="2160"/>
          <w:tab w:val="left" w:pos="9600"/>
        </w:tabs>
        <w:spacing w:after="0"/>
        <w:jc w:val="both"/>
        <w:rPr>
          <w:b/>
        </w:rPr>
      </w:pPr>
      <w:r w:rsidRPr="006D2CD1">
        <w:rPr>
          <w:b/>
        </w:rPr>
        <w:t>Jan</w:t>
      </w:r>
      <w:r w:rsidR="006137D7">
        <w:rPr>
          <w:b/>
        </w:rPr>
        <w:t>.</w:t>
      </w:r>
      <w:r w:rsidRPr="006D2CD1">
        <w:rPr>
          <w:b/>
        </w:rPr>
        <w:t xml:space="preserve"> 24, 2014</w:t>
      </w:r>
      <w:r w:rsidR="006137D7">
        <w:rPr>
          <w:b/>
        </w:rPr>
        <w:t xml:space="preserve">, </w:t>
      </w:r>
      <w:r w:rsidR="006137D7" w:rsidRPr="006137D7">
        <w:rPr>
          <w:b/>
        </w:rPr>
        <w:t>4 pm</w:t>
      </w:r>
      <w:r w:rsidR="006137D7">
        <w:rPr>
          <w:b/>
        </w:rPr>
        <w:t xml:space="preserve"> </w:t>
      </w:r>
      <w:r w:rsidR="006137D7">
        <w:rPr>
          <w:b/>
        </w:rPr>
        <w:tab/>
      </w:r>
      <w:r w:rsidR="004872CE">
        <w:rPr>
          <w:b/>
        </w:rPr>
        <w:t>Deadline to appeal Rating and Ranking/Funding Recommendation Result</w:t>
      </w:r>
      <w:r w:rsidR="00D97140">
        <w:rPr>
          <w:b/>
        </w:rPr>
        <w:tab/>
      </w:r>
    </w:p>
    <w:p w:rsidR="006137D7" w:rsidRPr="006137D7" w:rsidRDefault="006137D7" w:rsidP="00A63D8B">
      <w:pPr>
        <w:tabs>
          <w:tab w:val="left" w:pos="2160"/>
        </w:tabs>
        <w:spacing w:after="0"/>
        <w:jc w:val="both"/>
        <w:rPr>
          <w:b/>
        </w:rPr>
      </w:pPr>
      <w:r>
        <w:rPr>
          <w:b/>
        </w:rPr>
        <w:t xml:space="preserve">       </w:t>
      </w:r>
    </w:p>
    <w:p w:rsidR="004872CE" w:rsidRDefault="004872CE" w:rsidP="00A63D8B">
      <w:pPr>
        <w:tabs>
          <w:tab w:val="left" w:pos="2160"/>
        </w:tabs>
        <w:jc w:val="both"/>
        <w:rPr>
          <w:b/>
        </w:rPr>
      </w:pPr>
      <w:r>
        <w:rPr>
          <w:b/>
        </w:rPr>
        <w:t>Jan</w:t>
      </w:r>
      <w:r w:rsidR="006137D7">
        <w:rPr>
          <w:b/>
        </w:rPr>
        <w:t>.</w:t>
      </w:r>
      <w:r>
        <w:rPr>
          <w:b/>
        </w:rPr>
        <w:t xml:space="preserve"> 28, 2014</w:t>
      </w:r>
      <w:r>
        <w:rPr>
          <w:b/>
        </w:rPr>
        <w:tab/>
        <w:t>Decisions on Appeal Announced</w:t>
      </w:r>
    </w:p>
    <w:p w:rsidR="00D2432E" w:rsidRDefault="004872CE" w:rsidP="00D97140">
      <w:pPr>
        <w:tabs>
          <w:tab w:val="left" w:pos="2160"/>
          <w:tab w:val="left" w:pos="6840"/>
        </w:tabs>
        <w:jc w:val="both"/>
        <w:rPr>
          <w:b/>
          <w:i/>
        </w:rPr>
      </w:pPr>
      <w:r>
        <w:rPr>
          <w:b/>
        </w:rPr>
        <w:t>Jan</w:t>
      </w:r>
      <w:r w:rsidR="006137D7">
        <w:rPr>
          <w:b/>
        </w:rPr>
        <w:t>.</w:t>
      </w:r>
      <w:r>
        <w:rPr>
          <w:b/>
        </w:rPr>
        <w:t xml:space="preserve"> 31, 2014</w:t>
      </w:r>
      <w:r>
        <w:rPr>
          <w:b/>
        </w:rPr>
        <w:tab/>
        <w:t>CoC Application Submitted to HUD</w:t>
      </w:r>
      <w:r w:rsidR="006137D7">
        <w:rPr>
          <w:b/>
        </w:rPr>
        <w:t xml:space="preserve"> in </w:t>
      </w:r>
      <w:r w:rsidR="006137D7" w:rsidRPr="006137D7">
        <w:rPr>
          <w:b/>
          <w:i/>
        </w:rPr>
        <w:t>esnaps</w:t>
      </w:r>
      <w:r w:rsidR="00983F87">
        <w:rPr>
          <w:b/>
          <w:i/>
        </w:rPr>
        <w:t xml:space="preserve"> </w:t>
      </w:r>
      <w:r w:rsidR="00D97140">
        <w:rPr>
          <w:b/>
          <w:i/>
        </w:rPr>
        <w:tab/>
      </w:r>
    </w:p>
    <w:p w:rsidR="00D97140" w:rsidRDefault="00D97140" w:rsidP="00D97140">
      <w:pPr>
        <w:tabs>
          <w:tab w:val="left" w:pos="2160"/>
          <w:tab w:val="left" w:pos="6840"/>
        </w:tabs>
        <w:jc w:val="both"/>
        <w:rPr>
          <w:b/>
          <w:i/>
        </w:rPr>
        <w:sectPr w:rsidR="00D97140" w:rsidSect="00D97140">
          <w:headerReference w:type="default" r:id="rId13"/>
          <w:footerReference w:type="default" r:id="rId14"/>
          <w:footerReference w:type="first" r:id="rId15"/>
          <w:type w:val="continuous"/>
          <w:pgSz w:w="12240" w:h="15840"/>
          <w:pgMar w:top="1440" w:right="1440" w:bottom="1440" w:left="1440" w:header="720" w:footer="720" w:gutter="0"/>
          <w:cols w:space="720"/>
          <w:titlePg/>
          <w:docGrid w:linePitch="360"/>
        </w:sectPr>
      </w:pPr>
    </w:p>
    <w:p w:rsidR="00072FBC" w:rsidRDefault="00072FBC" w:rsidP="00D97140">
      <w:pPr>
        <w:sectPr w:rsidR="00072FBC" w:rsidSect="00D61A80">
          <w:type w:val="continuous"/>
          <w:pgSz w:w="12240" w:h="15840"/>
          <w:pgMar w:top="1152" w:right="720" w:bottom="720" w:left="720" w:header="720" w:footer="720" w:gutter="0"/>
          <w:cols w:space="720"/>
          <w:titlePg/>
          <w:docGrid w:linePitch="360"/>
        </w:sectPr>
      </w:pPr>
    </w:p>
    <w:tbl>
      <w:tblPr>
        <w:tblStyle w:val="TableGrid"/>
        <w:tblpPr w:leftFromText="180" w:rightFromText="180" w:vertAnchor="text" w:horzAnchor="margin" w:tblpX="108" w:tblpY="91"/>
        <w:tblOverlap w:val="never"/>
        <w:tblW w:w="10728" w:type="dxa"/>
        <w:tblLook w:val="04A0" w:firstRow="1" w:lastRow="0" w:firstColumn="1" w:lastColumn="0" w:noHBand="0" w:noVBand="1"/>
      </w:tblPr>
      <w:tblGrid>
        <w:gridCol w:w="1872"/>
        <w:gridCol w:w="3780"/>
        <w:gridCol w:w="5076"/>
      </w:tblGrid>
      <w:tr w:rsidR="00826232" w:rsidRPr="00F441D2" w:rsidTr="00072FBC">
        <w:tc>
          <w:tcPr>
            <w:tcW w:w="10728" w:type="dxa"/>
            <w:gridSpan w:val="3"/>
            <w:shd w:val="clear" w:color="auto" w:fill="1F497D" w:themeFill="text2"/>
            <w:vAlign w:val="center"/>
          </w:tcPr>
          <w:p w:rsidR="00826232" w:rsidRDefault="00DE3051" w:rsidP="00072FBC">
            <w:pPr>
              <w:spacing w:before="60" w:after="60"/>
              <w:jc w:val="center"/>
              <w:rPr>
                <w:b/>
                <w:color w:val="FFFFFF" w:themeColor="background1"/>
                <w:sz w:val="24"/>
                <w:szCs w:val="24"/>
              </w:rPr>
            </w:pPr>
            <w:r>
              <w:lastRenderedPageBreak/>
              <w:br w:type="page"/>
            </w:r>
            <w:r>
              <w:br w:type="page"/>
            </w:r>
            <w:r w:rsidR="00826232" w:rsidRPr="006137D7">
              <w:rPr>
                <w:b/>
                <w:color w:val="FFFFFF" w:themeColor="background1"/>
                <w:sz w:val="24"/>
                <w:szCs w:val="24"/>
              </w:rPr>
              <w:t>SCORING FOR RENEWAL APPLICATIONS</w:t>
            </w:r>
            <w:r w:rsidR="008C397C">
              <w:rPr>
                <w:b/>
                <w:color w:val="FFFFFF" w:themeColor="background1"/>
                <w:sz w:val="24"/>
                <w:szCs w:val="24"/>
              </w:rPr>
              <w:t xml:space="preserve"> FOR </w:t>
            </w:r>
            <w:r>
              <w:rPr>
                <w:b/>
                <w:color w:val="FFFFFF" w:themeColor="background1"/>
                <w:sz w:val="24"/>
                <w:szCs w:val="24"/>
              </w:rPr>
              <w:t xml:space="preserve">FY2013 COC PROGRAM COMPETITION </w:t>
            </w:r>
          </w:p>
          <w:p w:rsidR="005179EC" w:rsidRPr="005179EC" w:rsidRDefault="005179EC" w:rsidP="00072FBC">
            <w:pPr>
              <w:spacing w:before="60" w:after="60"/>
              <w:jc w:val="center"/>
            </w:pPr>
            <w:r w:rsidRPr="005179EC">
              <w:rPr>
                <w:color w:val="FFFFFF" w:themeColor="background1"/>
              </w:rPr>
              <w:t>Total points available: 100</w:t>
            </w:r>
            <w:r>
              <w:rPr>
                <w:color w:val="FFFFFF" w:themeColor="background1"/>
              </w:rPr>
              <w:t xml:space="preserve"> (plus 2 bonus points)</w:t>
            </w:r>
          </w:p>
        </w:tc>
      </w:tr>
      <w:tr w:rsidR="00D61A80" w:rsidRPr="00F441D2" w:rsidTr="00072FBC">
        <w:tc>
          <w:tcPr>
            <w:tcW w:w="1872" w:type="dxa"/>
            <w:vMerge w:val="restart"/>
            <w:shd w:val="clear" w:color="auto" w:fill="F2F2F2" w:themeFill="background1" w:themeFillShade="F2"/>
            <w:vAlign w:val="center"/>
          </w:tcPr>
          <w:p w:rsidR="001F15F8" w:rsidRDefault="00096A89" w:rsidP="00072FBC">
            <w:pPr>
              <w:spacing w:before="60"/>
              <w:rPr>
                <w:b/>
                <w:sz w:val="20"/>
                <w:szCs w:val="20"/>
              </w:rPr>
            </w:pPr>
            <w:r w:rsidRPr="006137D7">
              <w:rPr>
                <w:b/>
                <w:sz w:val="24"/>
                <w:szCs w:val="24"/>
              </w:rPr>
              <w:t>PROGRAM</w:t>
            </w:r>
            <w:r>
              <w:rPr>
                <w:b/>
                <w:sz w:val="20"/>
                <w:szCs w:val="20"/>
              </w:rPr>
              <w:t xml:space="preserve"> </w:t>
            </w:r>
          </w:p>
          <w:p w:rsidR="00096A89" w:rsidRPr="006137D7" w:rsidRDefault="00BE4303" w:rsidP="00072FBC">
            <w:pPr>
              <w:spacing w:before="60"/>
              <w:rPr>
                <w:sz w:val="20"/>
                <w:szCs w:val="20"/>
              </w:rPr>
            </w:pPr>
            <w:r>
              <w:rPr>
                <w:sz w:val="20"/>
                <w:szCs w:val="20"/>
              </w:rPr>
              <w:t>36</w:t>
            </w:r>
            <w:r w:rsidR="00096A89" w:rsidRPr="006137D7">
              <w:rPr>
                <w:sz w:val="20"/>
                <w:szCs w:val="20"/>
              </w:rPr>
              <w:t xml:space="preserve"> points</w:t>
            </w:r>
          </w:p>
          <w:p w:rsidR="00096A89" w:rsidRPr="004E7DB4" w:rsidRDefault="00096A89" w:rsidP="00072FBC">
            <w:pPr>
              <w:spacing w:before="60"/>
              <w:rPr>
                <w:i/>
                <w:sz w:val="20"/>
                <w:szCs w:val="20"/>
              </w:rPr>
            </w:pPr>
            <w:r w:rsidRPr="004E7DB4">
              <w:rPr>
                <w:i/>
                <w:sz w:val="20"/>
                <w:szCs w:val="20"/>
              </w:rPr>
              <w:t xml:space="preserve">Source:   </w:t>
            </w:r>
          </w:p>
          <w:p w:rsidR="00096A89" w:rsidRPr="00F441D2" w:rsidRDefault="00096A89" w:rsidP="00072FBC">
            <w:pPr>
              <w:spacing w:after="60"/>
              <w:rPr>
                <w:sz w:val="20"/>
                <w:szCs w:val="20"/>
              </w:rPr>
            </w:pPr>
            <w:r w:rsidRPr="00F441D2">
              <w:rPr>
                <w:sz w:val="20"/>
                <w:szCs w:val="20"/>
              </w:rPr>
              <w:t>Project Application</w:t>
            </w:r>
            <w:r w:rsidR="001F15F8">
              <w:rPr>
                <w:sz w:val="20"/>
                <w:szCs w:val="20"/>
              </w:rPr>
              <w:t xml:space="preserve">, </w:t>
            </w:r>
            <w:r w:rsidRPr="00F441D2">
              <w:rPr>
                <w:sz w:val="20"/>
                <w:szCs w:val="20"/>
              </w:rPr>
              <w:t>Supplemental Survey</w:t>
            </w:r>
          </w:p>
          <w:p w:rsidR="00096A89" w:rsidRPr="00F441D2" w:rsidRDefault="00096A89" w:rsidP="00072FBC">
            <w:pPr>
              <w:spacing w:before="60" w:after="60"/>
              <w:rPr>
                <w:sz w:val="20"/>
                <w:szCs w:val="20"/>
              </w:rPr>
            </w:pPr>
          </w:p>
        </w:tc>
        <w:tc>
          <w:tcPr>
            <w:tcW w:w="3780" w:type="dxa"/>
            <w:shd w:val="clear" w:color="auto" w:fill="F2F2F2" w:themeFill="background1" w:themeFillShade="F2"/>
          </w:tcPr>
          <w:p w:rsidR="00096A89" w:rsidRPr="00F441D2" w:rsidRDefault="00096A89" w:rsidP="00072FBC">
            <w:pPr>
              <w:spacing w:before="60" w:after="60"/>
              <w:rPr>
                <w:sz w:val="20"/>
                <w:szCs w:val="20"/>
              </w:rPr>
            </w:pPr>
            <w:r w:rsidRPr="00F441D2">
              <w:rPr>
                <w:sz w:val="20"/>
                <w:szCs w:val="20"/>
              </w:rPr>
              <w:t xml:space="preserve">Program Type, Model, </w:t>
            </w:r>
            <w:r>
              <w:rPr>
                <w:sz w:val="20"/>
                <w:szCs w:val="20"/>
              </w:rPr>
              <w:t xml:space="preserve">and </w:t>
            </w:r>
            <w:r w:rsidRPr="00F441D2">
              <w:rPr>
                <w:sz w:val="20"/>
                <w:szCs w:val="20"/>
              </w:rPr>
              <w:t>Target</w:t>
            </w:r>
            <w:r>
              <w:rPr>
                <w:sz w:val="20"/>
                <w:szCs w:val="20"/>
              </w:rPr>
              <w:t xml:space="preserve"> (up to 1</w:t>
            </w:r>
            <w:r w:rsidR="00BE4303">
              <w:rPr>
                <w:sz w:val="20"/>
                <w:szCs w:val="20"/>
              </w:rPr>
              <w:t>6</w:t>
            </w:r>
            <w:r>
              <w:rPr>
                <w:sz w:val="20"/>
                <w:szCs w:val="20"/>
              </w:rPr>
              <w:t xml:space="preserve"> points)</w:t>
            </w:r>
          </w:p>
        </w:tc>
        <w:tc>
          <w:tcPr>
            <w:tcW w:w="5076" w:type="dxa"/>
            <w:shd w:val="clear" w:color="auto" w:fill="F2F2F2" w:themeFill="background1" w:themeFillShade="F2"/>
          </w:tcPr>
          <w:p w:rsidR="00096A89" w:rsidRDefault="00096A89" w:rsidP="00072FBC">
            <w:pPr>
              <w:spacing w:before="60"/>
              <w:rPr>
                <w:sz w:val="20"/>
                <w:szCs w:val="20"/>
              </w:rPr>
            </w:pPr>
            <w:r w:rsidRPr="00F441D2">
              <w:rPr>
                <w:sz w:val="20"/>
                <w:szCs w:val="20"/>
              </w:rPr>
              <w:t>P</w:t>
            </w:r>
            <w:r>
              <w:rPr>
                <w:sz w:val="20"/>
                <w:szCs w:val="20"/>
              </w:rPr>
              <w:t>S</w:t>
            </w:r>
            <w:r w:rsidRPr="00F441D2">
              <w:rPr>
                <w:sz w:val="20"/>
                <w:szCs w:val="20"/>
              </w:rPr>
              <w:t>H, Housing First</w:t>
            </w:r>
            <w:r>
              <w:rPr>
                <w:sz w:val="20"/>
                <w:szCs w:val="20"/>
              </w:rPr>
              <w:t xml:space="preserve"> &amp; 100% chronic – 1</w:t>
            </w:r>
            <w:r w:rsidR="00BE4303">
              <w:rPr>
                <w:sz w:val="20"/>
                <w:szCs w:val="20"/>
              </w:rPr>
              <w:t>6</w:t>
            </w:r>
            <w:r w:rsidRPr="00F441D2">
              <w:rPr>
                <w:sz w:val="20"/>
                <w:szCs w:val="20"/>
              </w:rPr>
              <w:t xml:space="preserve"> points</w:t>
            </w:r>
          </w:p>
          <w:p w:rsidR="00096A89" w:rsidRDefault="00096A89" w:rsidP="00072FBC">
            <w:pPr>
              <w:rPr>
                <w:sz w:val="20"/>
                <w:szCs w:val="20"/>
              </w:rPr>
            </w:pPr>
            <w:r>
              <w:rPr>
                <w:sz w:val="20"/>
                <w:szCs w:val="20"/>
              </w:rPr>
              <w:t>RRH for families – 1</w:t>
            </w:r>
            <w:r w:rsidR="00BE4303">
              <w:rPr>
                <w:sz w:val="20"/>
                <w:szCs w:val="20"/>
              </w:rPr>
              <w:t>6</w:t>
            </w:r>
            <w:r>
              <w:rPr>
                <w:sz w:val="20"/>
                <w:szCs w:val="20"/>
              </w:rPr>
              <w:t xml:space="preserve"> points</w:t>
            </w:r>
          </w:p>
          <w:p w:rsidR="00096A89" w:rsidRDefault="00096A89" w:rsidP="00072FBC">
            <w:pPr>
              <w:rPr>
                <w:sz w:val="20"/>
                <w:szCs w:val="20"/>
              </w:rPr>
            </w:pPr>
            <w:r w:rsidRPr="00F441D2">
              <w:rPr>
                <w:sz w:val="20"/>
                <w:szCs w:val="20"/>
              </w:rPr>
              <w:t>P</w:t>
            </w:r>
            <w:r>
              <w:rPr>
                <w:sz w:val="20"/>
                <w:szCs w:val="20"/>
              </w:rPr>
              <w:t>S</w:t>
            </w:r>
            <w:r w:rsidRPr="00F441D2">
              <w:rPr>
                <w:sz w:val="20"/>
                <w:szCs w:val="20"/>
              </w:rPr>
              <w:t>H, Housing First OR 100% chronic – 12 points</w:t>
            </w:r>
          </w:p>
          <w:p w:rsidR="00096A89" w:rsidRPr="00D86970" w:rsidRDefault="00096A89" w:rsidP="00072FBC">
            <w:pPr>
              <w:pStyle w:val="NoSpacing"/>
              <w:rPr>
                <w:sz w:val="20"/>
                <w:szCs w:val="20"/>
              </w:rPr>
            </w:pPr>
            <w:r w:rsidRPr="00D86970">
              <w:rPr>
                <w:sz w:val="20"/>
                <w:szCs w:val="20"/>
              </w:rPr>
              <w:t>P</w:t>
            </w:r>
            <w:r>
              <w:rPr>
                <w:sz w:val="20"/>
                <w:szCs w:val="20"/>
              </w:rPr>
              <w:t>S</w:t>
            </w:r>
            <w:r w:rsidRPr="00D86970">
              <w:rPr>
                <w:sz w:val="20"/>
                <w:szCs w:val="20"/>
              </w:rPr>
              <w:t xml:space="preserve">H, </w:t>
            </w:r>
            <w:r>
              <w:rPr>
                <w:sz w:val="20"/>
                <w:szCs w:val="20"/>
              </w:rPr>
              <w:t>Not Housing First</w:t>
            </w:r>
            <w:r w:rsidR="00AB391A">
              <w:rPr>
                <w:sz w:val="20"/>
                <w:szCs w:val="20"/>
              </w:rPr>
              <w:t>,</w:t>
            </w:r>
            <w:r>
              <w:rPr>
                <w:sz w:val="20"/>
                <w:szCs w:val="20"/>
              </w:rPr>
              <w:t xml:space="preserve"> </w:t>
            </w:r>
            <w:r w:rsidR="00291061">
              <w:rPr>
                <w:sz w:val="20"/>
                <w:szCs w:val="20"/>
              </w:rPr>
              <w:t>50% to 99</w:t>
            </w:r>
            <w:r>
              <w:rPr>
                <w:sz w:val="20"/>
                <w:szCs w:val="20"/>
              </w:rPr>
              <w:t>% chronic</w:t>
            </w:r>
            <w:r w:rsidRPr="00D86970">
              <w:rPr>
                <w:sz w:val="20"/>
                <w:szCs w:val="20"/>
              </w:rPr>
              <w:t xml:space="preserve"> – 6 points</w:t>
            </w:r>
          </w:p>
          <w:p w:rsidR="00096A89" w:rsidRPr="00F441D2" w:rsidRDefault="00096A89" w:rsidP="00072FBC">
            <w:pPr>
              <w:spacing w:after="60"/>
              <w:rPr>
                <w:sz w:val="20"/>
                <w:szCs w:val="20"/>
              </w:rPr>
            </w:pPr>
            <w:r>
              <w:rPr>
                <w:sz w:val="20"/>
                <w:szCs w:val="20"/>
              </w:rPr>
              <w:t>TH, targets Youth or Substance Abuse – 8 points</w:t>
            </w:r>
          </w:p>
        </w:tc>
      </w:tr>
      <w:tr w:rsidR="00D61A80" w:rsidRPr="00F441D2" w:rsidTr="00072FBC">
        <w:tc>
          <w:tcPr>
            <w:tcW w:w="1872" w:type="dxa"/>
            <w:vMerge/>
            <w:shd w:val="clear" w:color="auto" w:fill="F2F2F2" w:themeFill="background1" w:themeFillShade="F2"/>
          </w:tcPr>
          <w:p w:rsidR="00096A89" w:rsidRPr="00F441D2" w:rsidRDefault="00096A89" w:rsidP="00072FBC">
            <w:pPr>
              <w:spacing w:before="60" w:after="60"/>
              <w:rPr>
                <w:sz w:val="20"/>
                <w:szCs w:val="20"/>
              </w:rPr>
            </w:pPr>
          </w:p>
        </w:tc>
        <w:tc>
          <w:tcPr>
            <w:tcW w:w="3780" w:type="dxa"/>
            <w:shd w:val="clear" w:color="auto" w:fill="F2F2F2" w:themeFill="background1" w:themeFillShade="F2"/>
          </w:tcPr>
          <w:p w:rsidR="00096A89" w:rsidRDefault="00096A89" w:rsidP="00072FBC">
            <w:pPr>
              <w:spacing w:before="60" w:after="60"/>
              <w:rPr>
                <w:sz w:val="20"/>
                <w:szCs w:val="20"/>
              </w:rPr>
            </w:pPr>
            <w:r>
              <w:rPr>
                <w:sz w:val="20"/>
                <w:szCs w:val="20"/>
              </w:rPr>
              <w:t>Contributes to geographi</w:t>
            </w:r>
            <w:r w:rsidR="00BE4303">
              <w:rPr>
                <w:sz w:val="20"/>
                <w:szCs w:val="20"/>
              </w:rPr>
              <w:t>c diversity of services (up to 5</w:t>
            </w:r>
            <w:r>
              <w:rPr>
                <w:sz w:val="20"/>
                <w:szCs w:val="20"/>
              </w:rPr>
              <w:t xml:space="preserve"> points)</w:t>
            </w:r>
          </w:p>
        </w:tc>
        <w:tc>
          <w:tcPr>
            <w:tcW w:w="5076" w:type="dxa"/>
            <w:shd w:val="clear" w:color="auto" w:fill="F2F2F2" w:themeFill="background1" w:themeFillShade="F2"/>
          </w:tcPr>
          <w:p w:rsidR="00096A89" w:rsidRDefault="00096A89" w:rsidP="00072FBC">
            <w:pPr>
              <w:spacing w:before="60"/>
              <w:rPr>
                <w:sz w:val="20"/>
                <w:szCs w:val="20"/>
              </w:rPr>
            </w:pPr>
            <w:r>
              <w:rPr>
                <w:sz w:val="20"/>
                <w:szCs w:val="20"/>
              </w:rPr>
              <w:t>Largely underserved location –</w:t>
            </w:r>
            <w:r w:rsidR="00BE4303">
              <w:rPr>
                <w:sz w:val="20"/>
                <w:szCs w:val="20"/>
              </w:rPr>
              <w:t>5</w:t>
            </w:r>
            <w:r w:rsidR="007A0306">
              <w:rPr>
                <w:sz w:val="20"/>
                <w:szCs w:val="20"/>
              </w:rPr>
              <w:t xml:space="preserve"> </w:t>
            </w:r>
            <w:r>
              <w:rPr>
                <w:sz w:val="20"/>
                <w:szCs w:val="20"/>
              </w:rPr>
              <w:t>points</w:t>
            </w:r>
          </w:p>
          <w:p w:rsidR="00096A89" w:rsidRDefault="00096A89" w:rsidP="00072FBC">
            <w:pPr>
              <w:spacing w:after="60"/>
              <w:rPr>
                <w:sz w:val="20"/>
                <w:szCs w:val="20"/>
              </w:rPr>
            </w:pPr>
            <w:r>
              <w:rPr>
                <w:sz w:val="20"/>
                <w:szCs w:val="20"/>
              </w:rPr>
              <w:t xml:space="preserve">Moderately underserved location – </w:t>
            </w:r>
            <w:r w:rsidR="00BE4303">
              <w:rPr>
                <w:sz w:val="20"/>
                <w:szCs w:val="20"/>
              </w:rPr>
              <w:t>3</w:t>
            </w:r>
            <w:r>
              <w:rPr>
                <w:sz w:val="20"/>
                <w:szCs w:val="20"/>
              </w:rPr>
              <w:t xml:space="preserve"> points</w:t>
            </w:r>
          </w:p>
        </w:tc>
      </w:tr>
      <w:tr w:rsidR="00D61A80" w:rsidRPr="00F441D2" w:rsidTr="00072FBC">
        <w:tc>
          <w:tcPr>
            <w:tcW w:w="1872" w:type="dxa"/>
            <w:vMerge/>
            <w:shd w:val="clear" w:color="auto" w:fill="F2F2F2" w:themeFill="background1" w:themeFillShade="F2"/>
          </w:tcPr>
          <w:p w:rsidR="00096A89" w:rsidRPr="00F441D2" w:rsidRDefault="00096A89" w:rsidP="00072FBC">
            <w:pPr>
              <w:spacing w:before="60" w:after="60"/>
              <w:rPr>
                <w:sz w:val="20"/>
                <w:szCs w:val="20"/>
              </w:rPr>
            </w:pPr>
          </w:p>
        </w:tc>
        <w:tc>
          <w:tcPr>
            <w:tcW w:w="3780" w:type="dxa"/>
            <w:shd w:val="clear" w:color="auto" w:fill="F2F2F2" w:themeFill="background1" w:themeFillShade="F2"/>
          </w:tcPr>
          <w:p w:rsidR="00096A89" w:rsidRPr="00F441D2" w:rsidRDefault="00096A89" w:rsidP="00072FBC">
            <w:pPr>
              <w:spacing w:before="60" w:after="60"/>
              <w:rPr>
                <w:sz w:val="20"/>
                <w:szCs w:val="20"/>
              </w:rPr>
            </w:pPr>
            <w:r>
              <w:rPr>
                <w:sz w:val="20"/>
                <w:szCs w:val="20"/>
              </w:rPr>
              <w:t>Serves har</w:t>
            </w:r>
            <w:r w:rsidR="00291061">
              <w:rPr>
                <w:sz w:val="20"/>
                <w:szCs w:val="20"/>
              </w:rPr>
              <w:t xml:space="preserve">der-to-serve population (up to </w:t>
            </w:r>
            <w:r w:rsidR="007A0306">
              <w:rPr>
                <w:sz w:val="20"/>
                <w:szCs w:val="20"/>
              </w:rPr>
              <w:t>8</w:t>
            </w:r>
            <w:r w:rsidR="00BE4303">
              <w:rPr>
                <w:sz w:val="20"/>
                <w:szCs w:val="20"/>
              </w:rPr>
              <w:t xml:space="preserve"> </w:t>
            </w:r>
            <w:r>
              <w:rPr>
                <w:sz w:val="20"/>
                <w:szCs w:val="20"/>
              </w:rPr>
              <w:t>points)</w:t>
            </w:r>
          </w:p>
        </w:tc>
        <w:tc>
          <w:tcPr>
            <w:tcW w:w="5076" w:type="dxa"/>
            <w:shd w:val="clear" w:color="auto" w:fill="F2F2F2" w:themeFill="background1" w:themeFillShade="F2"/>
          </w:tcPr>
          <w:p w:rsidR="00096A89" w:rsidRDefault="00D97140" w:rsidP="00072FBC">
            <w:pPr>
              <w:spacing w:before="60"/>
              <w:rPr>
                <w:sz w:val="20"/>
                <w:szCs w:val="20"/>
              </w:rPr>
            </w:pPr>
            <w:r>
              <w:rPr>
                <w:sz w:val="20"/>
                <w:szCs w:val="20"/>
              </w:rPr>
              <w:t>Commits to</w:t>
            </w:r>
            <w:r w:rsidR="00291061">
              <w:rPr>
                <w:sz w:val="20"/>
                <w:szCs w:val="20"/>
              </w:rPr>
              <w:t xml:space="preserve"> </w:t>
            </w:r>
            <w:r w:rsidR="00096A89">
              <w:rPr>
                <w:sz w:val="20"/>
                <w:szCs w:val="20"/>
              </w:rPr>
              <w:t>serve only literally homeless at entry –</w:t>
            </w:r>
            <w:r w:rsidR="007A0306">
              <w:rPr>
                <w:sz w:val="20"/>
                <w:szCs w:val="20"/>
              </w:rPr>
              <w:t xml:space="preserve"> 4</w:t>
            </w:r>
            <w:r w:rsidR="00291061">
              <w:rPr>
                <w:sz w:val="20"/>
                <w:szCs w:val="20"/>
              </w:rPr>
              <w:t xml:space="preserve"> </w:t>
            </w:r>
            <w:r w:rsidR="00096A89">
              <w:rPr>
                <w:sz w:val="20"/>
                <w:szCs w:val="20"/>
              </w:rPr>
              <w:t>points</w:t>
            </w:r>
          </w:p>
          <w:p w:rsidR="00096A89" w:rsidRPr="00F441D2" w:rsidRDefault="00096A89" w:rsidP="00072FBC">
            <w:pPr>
              <w:spacing w:after="60"/>
              <w:rPr>
                <w:sz w:val="20"/>
                <w:szCs w:val="20"/>
              </w:rPr>
            </w:pPr>
            <w:r>
              <w:rPr>
                <w:sz w:val="20"/>
                <w:szCs w:val="20"/>
              </w:rPr>
              <w:t xml:space="preserve">Last APR shows  </w:t>
            </w:r>
            <w:r w:rsidR="00072FBC">
              <w:rPr>
                <w:sz w:val="20"/>
                <w:szCs w:val="20"/>
              </w:rPr>
              <w:t>50</w:t>
            </w:r>
            <w:r>
              <w:rPr>
                <w:sz w:val="20"/>
                <w:szCs w:val="20"/>
              </w:rPr>
              <w:t>% or more participants had 2 or more disabilities</w:t>
            </w:r>
            <w:r w:rsidR="004E4CFF">
              <w:rPr>
                <w:sz w:val="20"/>
                <w:szCs w:val="20"/>
              </w:rPr>
              <w:t xml:space="preserve"> at entry</w:t>
            </w:r>
            <w:r>
              <w:rPr>
                <w:sz w:val="20"/>
                <w:szCs w:val="20"/>
              </w:rPr>
              <w:t xml:space="preserve"> –</w:t>
            </w:r>
            <w:r w:rsidR="007A0306">
              <w:rPr>
                <w:sz w:val="20"/>
                <w:szCs w:val="20"/>
              </w:rPr>
              <w:t xml:space="preserve">4 </w:t>
            </w:r>
            <w:r>
              <w:rPr>
                <w:sz w:val="20"/>
                <w:szCs w:val="20"/>
              </w:rPr>
              <w:t>points</w:t>
            </w:r>
          </w:p>
        </w:tc>
      </w:tr>
      <w:tr w:rsidR="00AB391A" w:rsidRPr="00F441D2" w:rsidTr="00072FBC">
        <w:trPr>
          <w:trHeight w:val="638"/>
        </w:trPr>
        <w:tc>
          <w:tcPr>
            <w:tcW w:w="1872" w:type="dxa"/>
            <w:vMerge/>
            <w:shd w:val="clear" w:color="auto" w:fill="F2F2F2" w:themeFill="background1" w:themeFillShade="F2"/>
          </w:tcPr>
          <w:p w:rsidR="00AB391A" w:rsidRPr="00F441D2" w:rsidRDefault="00AB391A" w:rsidP="00072FBC">
            <w:pPr>
              <w:spacing w:before="60" w:after="60"/>
              <w:rPr>
                <w:sz w:val="20"/>
                <w:szCs w:val="20"/>
              </w:rPr>
            </w:pPr>
          </w:p>
        </w:tc>
        <w:tc>
          <w:tcPr>
            <w:tcW w:w="3780" w:type="dxa"/>
            <w:shd w:val="clear" w:color="auto" w:fill="F2F2F2" w:themeFill="background1" w:themeFillShade="F2"/>
          </w:tcPr>
          <w:p w:rsidR="00AB391A" w:rsidRDefault="00AB391A" w:rsidP="00E66FB6">
            <w:pPr>
              <w:spacing w:before="60" w:after="60"/>
              <w:rPr>
                <w:sz w:val="20"/>
                <w:szCs w:val="20"/>
              </w:rPr>
            </w:pPr>
            <w:r>
              <w:rPr>
                <w:sz w:val="20"/>
                <w:szCs w:val="20"/>
              </w:rPr>
              <w:t>Use of evidence-based practices</w:t>
            </w:r>
            <w:r w:rsidR="00291061">
              <w:rPr>
                <w:sz w:val="20"/>
                <w:szCs w:val="20"/>
              </w:rPr>
              <w:t xml:space="preserve"> (</w:t>
            </w:r>
            <w:r w:rsidR="006E3ABF">
              <w:rPr>
                <w:sz w:val="20"/>
                <w:szCs w:val="20"/>
              </w:rPr>
              <w:t>5</w:t>
            </w:r>
            <w:r w:rsidR="00BE4303">
              <w:rPr>
                <w:sz w:val="20"/>
                <w:szCs w:val="20"/>
              </w:rPr>
              <w:t xml:space="preserve"> </w:t>
            </w:r>
            <w:r w:rsidR="00291061">
              <w:rPr>
                <w:sz w:val="20"/>
                <w:szCs w:val="20"/>
              </w:rPr>
              <w:t>points)</w:t>
            </w:r>
          </w:p>
        </w:tc>
        <w:tc>
          <w:tcPr>
            <w:tcW w:w="5076" w:type="dxa"/>
            <w:shd w:val="clear" w:color="auto" w:fill="F2F2F2" w:themeFill="background1" w:themeFillShade="F2"/>
          </w:tcPr>
          <w:p w:rsidR="00AB391A" w:rsidRDefault="00291061" w:rsidP="006E3ABF">
            <w:pPr>
              <w:spacing w:before="60" w:after="60"/>
              <w:rPr>
                <w:sz w:val="20"/>
                <w:szCs w:val="20"/>
              </w:rPr>
            </w:pPr>
            <w:r>
              <w:rPr>
                <w:sz w:val="20"/>
                <w:szCs w:val="20"/>
              </w:rPr>
              <w:t>Program uses or commits to use of one or more evidence-based practices –</w:t>
            </w:r>
            <w:r w:rsidR="006E3ABF">
              <w:rPr>
                <w:sz w:val="20"/>
                <w:szCs w:val="20"/>
              </w:rPr>
              <w:t>5</w:t>
            </w:r>
            <w:r w:rsidR="00BE4303">
              <w:rPr>
                <w:sz w:val="20"/>
                <w:szCs w:val="20"/>
              </w:rPr>
              <w:t xml:space="preserve"> </w:t>
            </w:r>
            <w:r>
              <w:rPr>
                <w:sz w:val="20"/>
                <w:szCs w:val="20"/>
              </w:rPr>
              <w:t>points</w:t>
            </w:r>
          </w:p>
        </w:tc>
      </w:tr>
      <w:tr w:rsidR="00D61A80" w:rsidRPr="00F441D2" w:rsidTr="00072FBC">
        <w:tc>
          <w:tcPr>
            <w:tcW w:w="1872" w:type="dxa"/>
            <w:vMerge/>
            <w:shd w:val="clear" w:color="auto" w:fill="F2F2F2" w:themeFill="background1" w:themeFillShade="F2"/>
          </w:tcPr>
          <w:p w:rsidR="00096A89" w:rsidRPr="00F441D2" w:rsidRDefault="00096A89" w:rsidP="00072FBC">
            <w:pPr>
              <w:spacing w:before="60" w:after="60"/>
              <w:rPr>
                <w:sz w:val="20"/>
                <w:szCs w:val="20"/>
              </w:rPr>
            </w:pPr>
          </w:p>
        </w:tc>
        <w:tc>
          <w:tcPr>
            <w:tcW w:w="3780" w:type="dxa"/>
            <w:shd w:val="clear" w:color="auto" w:fill="F2F2F2" w:themeFill="background1" w:themeFillShade="F2"/>
          </w:tcPr>
          <w:p w:rsidR="00096A89" w:rsidRDefault="00D97140" w:rsidP="006E3ABF">
            <w:pPr>
              <w:spacing w:before="60" w:after="60"/>
              <w:rPr>
                <w:sz w:val="20"/>
                <w:szCs w:val="20"/>
              </w:rPr>
            </w:pPr>
            <w:r>
              <w:rPr>
                <w:sz w:val="20"/>
                <w:szCs w:val="20"/>
              </w:rPr>
              <w:t>Type of site/building</w:t>
            </w:r>
            <w:r w:rsidR="00096A89">
              <w:rPr>
                <w:sz w:val="20"/>
                <w:szCs w:val="20"/>
              </w:rPr>
              <w:t xml:space="preserve"> –</w:t>
            </w:r>
            <w:r w:rsidR="006E3ABF">
              <w:rPr>
                <w:sz w:val="20"/>
                <w:szCs w:val="20"/>
              </w:rPr>
              <w:t>(2</w:t>
            </w:r>
            <w:r w:rsidR="00096A89">
              <w:rPr>
                <w:sz w:val="20"/>
                <w:szCs w:val="20"/>
              </w:rPr>
              <w:t xml:space="preserve"> points</w:t>
            </w:r>
            <w:r w:rsidR="006E3ABF">
              <w:rPr>
                <w:sz w:val="20"/>
                <w:szCs w:val="20"/>
              </w:rPr>
              <w:t>)</w:t>
            </w:r>
          </w:p>
        </w:tc>
        <w:tc>
          <w:tcPr>
            <w:tcW w:w="5076" w:type="dxa"/>
            <w:shd w:val="clear" w:color="auto" w:fill="F2F2F2" w:themeFill="background1" w:themeFillShade="F2"/>
          </w:tcPr>
          <w:p w:rsidR="00096A89" w:rsidRDefault="00096A89" w:rsidP="006E3ABF">
            <w:pPr>
              <w:spacing w:before="60"/>
              <w:rPr>
                <w:sz w:val="20"/>
                <w:szCs w:val="20"/>
              </w:rPr>
            </w:pPr>
            <w:r>
              <w:rPr>
                <w:sz w:val="20"/>
                <w:szCs w:val="20"/>
              </w:rPr>
              <w:t xml:space="preserve">Scattered site program </w:t>
            </w:r>
            <w:r w:rsidR="00BE4303" w:rsidRPr="006E3ABF">
              <w:rPr>
                <w:sz w:val="20"/>
                <w:szCs w:val="20"/>
                <w:u w:val="single"/>
              </w:rPr>
              <w:t>OR</w:t>
            </w:r>
            <w:r w:rsidR="00BE4303">
              <w:rPr>
                <w:sz w:val="20"/>
                <w:szCs w:val="20"/>
              </w:rPr>
              <w:t xml:space="preserve"> program </w:t>
            </w:r>
            <w:r w:rsidR="00291061">
              <w:rPr>
                <w:sz w:val="20"/>
                <w:szCs w:val="20"/>
              </w:rPr>
              <w:t xml:space="preserve">operates in a building </w:t>
            </w:r>
            <w:r>
              <w:rPr>
                <w:sz w:val="20"/>
                <w:szCs w:val="20"/>
              </w:rPr>
              <w:t xml:space="preserve">subject to CoC deed restriction –  </w:t>
            </w:r>
            <w:r w:rsidR="006E3ABF">
              <w:rPr>
                <w:sz w:val="20"/>
                <w:szCs w:val="20"/>
              </w:rPr>
              <w:t xml:space="preserve">2 </w:t>
            </w:r>
            <w:r>
              <w:rPr>
                <w:sz w:val="20"/>
                <w:szCs w:val="20"/>
              </w:rPr>
              <w:t>point</w:t>
            </w:r>
            <w:r w:rsidR="006E3ABF">
              <w:rPr>
                <w:sz w:val="20"/>
                <w:szCs w:val="20"/>
              </w:rPr>
              <w:t>s</w:t>
            </w:r>
          </w:p>
        </w:tc>
      </w:tr>
      <w:tr w:rsidR="00072FBC" w:rsidRPr="00F441D2" w:rsidTr="00072FBC">
        <w:tc>
          <w:tcPr>
            <w:tcW w:w="1872" w:type="dxa"/>
            <w:shd w:val="clear" w:color="auto" w:fill="F2F2F2" w:themeFill="background1" w:themeFillShade="F2"/>
          </w:tcPr>
          <w:p w:rsidR="00072FBC" w:rsidRPr="00ED5B14" w:rsidRDefault="00ED5B14" w:rsidP="00072FBC">
            <w:pPr>
              <w:spacing w:before="60" w:after="60"/>
              <w:rPr>
                <w:b/>
                <w:sz w:val="20"/>
                <w:szCs w:val="20"/>
              </w:rPr>
            </w:pPr>
            <w:r w:rsidRPr="00ED5B14">
              <w:rPr>
                <w:b/>
                <w:sz w:val="20"/>
                <w:szCs w:val="20"/>
              </w:rPr>
              <w:t>Program bonus</w:t>
            </w:r>
          </w:p>
        </w:tc>
        <w:tc>
          <w:tcPr>
            <w:tcW w:w="3780" w:type="dxa"/>
            <w:shd w:val="clear" w:color="auto" w:fill="F2F2F2" w:themeFill="background1" w:themeFillShade="F2"/>
          </w:tcPr>
          <w:p w:rsidR="00072FBC" w:rsidRDefault="00072FBC" w:rsidP="00072FBC">
            <w:pPr>
              <w:spacing w:before="60" w:after="60"/>
              <w:rPr>
                <w:sz w:val="20"/>
                <w:szCs w:val="20"/>
              </w:rPr>
            </w:pPr>
            <w:r>
              <w:rPr>
                <w:sz w:val="20"/>
                <w:szCs w:val="20"/>
              </w:rPr>
              <w:t>PSH: increase beds for chronic (bonus 2 points)</w:t>
            </w:r>
          </w:p>
        </w:tc>
        <w:tc>
          <w:tcPr>
            <w:tcW w:w="5076" w:type="dxa"/>
            <w:shd w:val="clear" w:color="auto" w:fill="F2F2F2" w:themeFill="background1" w:themeFillShade="F2"/>
          </w:tcPr>
          <w:p w:rsidR="00072FBC" w:rsidRDefault="00072FBC" w:rsidP="00072FBC">
            <w:pPr>
              <w:spacing w:before="60"/>
              <w:rPr>
                <w:sz w:val="20"/>
                <w:szCs w:val="20"/>
              </w:rPr>
            </w:pPr>
            <w:r>
              <w:rPr>
                <w:sz w:val="20"/>
                <w:szCs w:val="20"/>
              </w:rPr>
              <w:t>PSH projects that are 100% chronic or which commit to using non-chronic beds for chronic will get 2 bonus points.</w:t>
            </w:r>
          </w:p>
        </w:tc>
      </w:tr>
      <w:tr w:rsidR="00D61A80" w:rsidRPr="00F441D2" w:rsidTr="00072FBC">
        <w:trPr>
          <w:cantSplit/>
          <w:trHeight w:val="1223"/>
        </w:trPr>
        <w:tc>
          <w:tcPr>
            <w:tcW w:w="1872" w:type="dxa"/>
            <w:vMerge w:val="restart"/>
            <w:tcBorders>
              <w:bottom w:val="single" w:sz="4" w:space="0" w:color="auto"/>
            </w:tcBorders>
            <w:shd w:val="clear" w:color="auto" w:fill="C6D9F1" w:themeFill="text2" w:themeFillTint="33"/>
            <w:vAlign w:val="center"/>
          </w:tcPr>
          <w:p w:rsidR="003E0019" w:rsidRPr="006137D7" w:rsidRDefault="003E0019" w:rsidP="00072FBC">
            <w:pPr>
              <w:spacing w:before="60"/>
              <w:rPr>
                <w:b/>
                <w:sz w:val="24"/>
                <w:szCs w:val="24"/>
              </w:rPr>
            </w:pPr>
            <w:r w:rsidRPr="006137D7">
              <w:rPr>
                <w:b/>
                <w:sz w:val="24"/>
                <w:szCs w:val="24"/>
              </w:rPr>
              <w:t xml:space="preserve">PERFORMANCE OUTCOMES </w:t>
            </w:r>
          </w:p>
          <w:p w:rsidR="003E0019" w:rsidRPr="006137D7" w:rsidRDefault="003E0019" w:rsidP="00072FBC">
            <w:pPr>
              <w:spacing w:after="60"/>
              <w:rPr>
                <w:sz w:val="20"/>
                <w:szCs w:val="20"/>
              </w:rPr>
            </w:pPr>
            <w:r w:rsidRPr="006137D7">
              <w:rPr>
                <w:sz w:val="20"/>
                <w:szCs w:val="20"/>
              </w:rPr>
              <w:t>2</w:t>
            </w:r>
            <w:r w:rsidR="00134575">
              <w:rPr>
                <w:sz w:val="20"/>
                <w:szCs w:val="20"/>
              </w:rPr>
              <w:t>4</w:t>
            </w:r>
            <w:r w:rsidRPr="006137D7">
              <w:rPr>
                <w:sz w:val="20"/>
                <w:szCs w:val="20"/>
              </w:rPr>
              <w:t xml:space="preserve"> points</w:t>
            </w:r>
          </w:p>
          <w:p w:rsidR="003E0019" w:rsidRPr="004E7DB4" w:rsidRDefault="003E0019" w:rsidP="005179EC">
            <w:pPr>
              <w:spacing w:before="60" w:after="60"/>
              <w:rPr>
                <w:i/>
                <w:sz w:val="20"/>
                <w:szCs w:val="20"/>
              </w:rPr>
            </w:pPr>
            <w:r w:rsidRPr="004E7DB4">
              <w:rPr>
                <w:i/>
                <w:sz w:val="20"/>
                <w:szCs w:val="20"/>
              </w:rPr>
              <w:t xml:space="preserve">Source:  </w:t>
            </w:r>
          </w:p>
          <w:p w:rsidR="003E0019" w:rsidRDefault="003E0019" w:rsidP="00072FBC">
            <w:pPr>
              <w:spacing w:after="60"/>
              <w:rPr>
                <w:sz w:val="20"/>
                <w:szCs w:val="20"/>
              </w:rPr>
            </w:pPr>
            <w:r w:rsidRPr="00F441D2">
              <w:rPr>
                <w:sz w:val="20"/>
                <w:szCs w:val="20"/>
              </w:rPr>
              <w:t xml:space="preserve">APR for program year that ended in period 7/1/2012 – 6/30/2013 </w:t>
            </w:r>
          </w:p>
          <w:p w:rsidR="003E0019" w:rsidRPr="00F441D2" w:rsidRDefault="003E0019" w:rsidP="00072FBC">
            <w:pPr>
              <w:spacing w:before="60" w:after="60"/>
              <w:rPr>
                <w:sz w:val="20"/>
                <w:szCs w:val="20"/>
              </w:rPr>
            </w:pPr>
            <w:r w:rsidRPr="00F441D2">
              <w:rPr>
                <w:sz w:val="20"/>
                <w:szCs w:val="20"/>
              </w:rPr>
              <w:t>Programs with initial grant year ending 7/1/2013 –</w:t>
            </w:r>
            <w:r>
              <w:rPr>
                <w:sz w:val="20"/>
                <w:szCs w:val="20"/>
              </w:rPr>
              <w:t xml:space="preserve"> 11</w:t>
            </w:r>
            <w:r w:rsidRPr="00F441D2">
              <w:rPr>
                <w:sz w:val="20"/>
                <w:szCs w:val="20"/>
              </w:rPr>
              <w:t>/30/2013 will be evaluated based on initial year APR.</w:t>
            </w:r>
          </w:p>
        </w:tc>
        <w:tc>
          <w:tcPr>
            <w:tcW w:w="3780" w:type="dxa"/>
            <w:tcBorders>
              <w:bottom w:val="single" w:sz="4" w:space="0" w:color="auto"/>
            </w:tcBorders>
            <w:shd w:val="clear" w:color="auto" w:fill="C6D9F1" w:themeFill="text2" w:themeFillTint="33"/>
          </w:tcPr>
          <w:p w:rsidR="003E0019" w:rsidRDefault="003E0019" w:rsidP="00072FBC">
            <w:pPr>
              <w:spacing w:before="60"/>
              <w:rPr>
                <w:sz w:val="20"/>
                <w:szCs w:val="20"/>
              </w:rPr>
            </w:pPr>
            <w:r>
              <w:rPr>
                <w:sz w:val="20"/>
                <w:szCs w:val="20"/>
              </w:rPr>
              <w:t>Housing Stability</w:t>
            </w:r>
            <w:r w:rsidR="00E66FB6">
              <w:rPr>
                <w:sz w:val="20"/>
                <w:szCs w:val="20"/>
              </w:rPr>
              <w:t xml:space="preserve"> (up to 6 points)</w:t>
            </w:r>
            <w:r>
              <w:rPr>
                <w:sz w:val="20"/>
                <w:szCs w:val="20"/>
              </w:rPr>
              <w:t>:</w:t>
            </w:r>
          </w:p>
          <w:p w:rsidR="003E0019" w:rsidRDefault="003E0019" w:rsidP="00072FBC">
            <w:pPr>
              <w:rPr>
                <w:sz w:val="20"/>
                <w:szCs w:val="20"/>
              </w:rPr>
            </w:pPr>
            <w:r w:rsidRPr="00F441D2">
              <w:rPr>
                <w:sz w:val="20"/>
                <w:szCs w:val="20"/>
              </w:rPr>
              <w:t xml:space="preserve">PH: 84% </w:t>
            </w:r>
            <w:r>
              <w:rPr>
                <w:sz w:val="20"/>
                <w:szCs w:val="20"/>
              </w:rPr>
              <w:t xml:space="preserve">or more </w:t>
            </w:r>
            <w:r w:rsidRPr="00F441D2">
              <w:rPr>
                <w:sz w:val="20"/>
                <w:szCs w:val="20"/>
              </w:rPr>
              <w:t xml:space="preserve">remained in PH or exited to permanent housing  </w:t>
            </w:r>
          </w:p>
          <w:p w:rsidR="003E0019" w:rsidRPr="00F441D2" w:rsidRDefault="003E0019" w:rsidP="00072FBC">
            <w:pPr>
              <w:spacing w:after="60"/>
              <w:rPr>
                <w:sz w:val="20"/>
                <w:szCs w:val="20"/>
              </w:rPr>
            </w:pPr>
            <w:r w:rsidRPr="00F441D2">
              <w:rPr>
                <w:sz w:val="20"/>
                <w:szCs w:val="20"/>
              </w:rPr>
              <w:t>TH: 65%</w:t>
            </w:r>
            <w:r>
              <w:rPr>
                <w:sz w:val="20"/>
                <w:szCs w:val="20"/>
              </w:rPr>
              <w:t xml:space="preserve"> or more of</w:t>
            </w:r>
            <w:r w:rsidRPr="00F441D2">
              <w:rPr>
                <w:sz w:val="20"/>
                <w:szCs w:val="20"/>
              </w:rPr>
              <w:t xml:space="preserve"> exit</w:t>
            </w:r>
            <w:r>
              <w:rPr>
                <w:sz w:val="20"/>
                <w:szCs w:val="20"/>
              </w:rPr>
              <w:t>s are</w:t>
            </w:r>
            <w:r w:rsidRPr="00F441D2">
              <w:rPr>
                <w:sz w:val="20"/>
                <w:szCs w:val="20"/>
              </w:rPr>
              <w:t xml:space="preserve"> to permanent housing</w:t>
            </w:r>
          </w:p>
        </w:tc>
        <w:tc>
          <w:tcPr>
            <w:tcW w:w="5076" w:type="dxa"/>
            <w:vMerge w:val="restart"/>
            <w:tcBorders>
              <w:bottom w:val="single" w:sz="4" w:space="0" w:color="auto"/>
            </w:tcBorders>
            <w:shd w:val="clear" w:color="auto" w:fill="C6D9F1" w:themeFill="text2" w:themeFillTint="33"/>
            <w:vAlign w:val="center"/>
          </w:tcPr>
          <w:p w:rsidR="007F6870" w:rsidRDefault="007F6870" w:rsidP="00072FBC">
            <w:pPr>
              <w:spacing w:before="60" w:after="60"/>
              <w:rPr>
                <w:sz w:val="20"/>
                <w:szCs w:val="20"/>
              </w:rPr>
            </w:pPr>
          </w:p>
          <w:p w:rsidR="003E0019" w:rsidRPr="00F441D2" w:rsidRDefault="003E0019" w:rsidP="00072FBC">
            <w:pPr>
              <w:spacing w:before="60" w:after="60"/>
              <w:rPr>
                <w:sz w:val="20"/>
                <w:szCs w:val="20"/>
              </w:rPr>
            </w:pPr>
            <w:r w:rsidRPr="00F441D2">
              <w:rPr>
                <w:sz w:val="20"/>
                <w:szCs w:val="20"/>
              </w:rPr>
              <w:t xml:space="preserve">Scoring for each standard: </w:t>
            </w:r>
          </w:p>
          <w:p w:rsidR="00134575" w:rsidRDefault="00134575" w:rsidP="00072FBC">
            <w:pPr>
              <w:rPr>
                <w:sz w:val="20"/>
                <w:szCs w:val="20"/>
              </w:rPr>
            </w:pPr>
            <w:r>
              <w:rPr>
                <w:sz w:val="20"/>
                <w:szCs w:val="20"/>
              </w:rPr>
              <w:t>6 pts. – Exceeded benchmark</w:t>
            </w:r>
          </w:p>
          <w:p w:rsidR="003E0019" w:rsidRPr="00F441D2" w:rsidRDefault="003E0019" w:rsidP="00072FBC">
            <w:pPr>
              <w:rPr>
                <w:sz w:val="20"/>
                <w:szCs w:val="20"/>
              </w:rPr>
            </w:pPr>
            <w:r>
              <w:rPr>
                <w:sz w:val="20"/>
                <w:szCs w:val="20"/>
              </w:rPr>
              <w:t>5 pts. - M</w:t>
            </w:r>
            <w:r w:rsidRPr="00F441D2">
              <w:rPr>
                <w:sz w:val="20"/>
                <w:szCs w:val="20"/>
              </w:rPr>
              <w:t xml:space="preserve">et </w:t>
            </w:r>
            <w:r w:rsidR="00134575">
              <w:rPr>
                <w:sz w:val="20"/>
                <w:szCs w:val="20"/>
              </w:rPr>
              <w:t>b</w:t>
            </w:r>
            <w:r w:rsidRPr="00F441D2">
              <w:rPr>
                <w:sz w:val="20"/>
                <w:szCs w:val="20"/>
              </w:rPr>
              <w:t xml:space="preserve">enchmark </w:t>
            </w:r>
          </w:p>
          <w:p w:rsidR="003E0019" w:rsidRPr="00F441D2" w:rsidRDefault="003E0019" w:rsidP="00072FBC">
            <w:pPr>
              <w:rPr>
                <w:sz w:val="20"/>
                <w:szCs w:val="20"/>
              </w:rPr>
            </w:pPr>
            <w:r w:rsidRPr="00F441D2">
              <w:rPr>
                <w:sz w:val="20"/>
                <w:szCs w:val="20"/>
              </w:rPr>
              <w:t xml:space="preserve">3 pts. </w:t>
            </w:r>
            <w:r>
              <w:rPr>
                <w:sz w:val="20"/>
                <w:szCs w:val="20"/>
              </w:rPr>
              <w:t>–</w:t>
            </w:r>
            <w:r w:rsidRPr="00F441D2">
              <w:rPr>
                <w:sz w:val="20"/>
                <w:szCs w:val="20"/>
              </w:rPr>
              <w:t xml:space="preserve"> Mis</w:t>
            </w:r>
            <w:r>
              <w:rPr>
                <w:sz w:val="20"/>
                <w:szCs w:val="20"/>
              </w:rPr>
              <w:t>sed benchmark but provided a plan for improvement of 10% or more over next year</w:t>
            </w:r>
          </w:p>
          <w:p w:rsidR="003E0019" w:rsidRDefault="003E0019" w:rsidP="00072FBC">
            <w:pPr>
              <w:rPr>
                <w:sz w:val="20"/>
                <w:szCs w:val="20"/>
              </w:rPr>
            </w:pPr>
            <w:r w:rsidRPr="00F441D2">
              <w:rPr>
                <w:sz w:val="20"/>
                <w:szCs w:val="20"/>
              </w:rPr>
              <w:t xml:space="preserve">0 pts. </w:t>
            </w:r>
            <w:r>
              <w:rPr>
                <w:sz w:val="20"/>
                <w:szCs w:val="20"/>
              </w:rPr>
              <w:t>–</w:t>
            </w:r>
            <w:r w:rsidRPr="00F441D2">
              <w:rPr>
                <w:sz w:val="20"/>
                <w:szCs w:val="20"/>
              </w:rPr>
              <w:t xml:space="preserve"> Miss</w:t>
            </w:r>
            <w:r>
              <w:rPr>
                <w:sz w:val="20"/>
                <w:szCs w:val="20"/>
              </w:rPr>
              <w:t>ed benchmark and no plan for improvement</w:t>
            </w:r>
          </w:p>
          <w:p w:rsidR="003E0019" w:rsidRDefault="003E0019" w:rsidP="00072FBC">
            <w:pPr>
              <w:spacing w:before="60" w:after="60"/>
              <w:rPr>
                <w:sz w:val="20"/>
                <w:szCs w:val="20"/>
              </w:rPr>
            </w:pPr>
          </w:p>
          <w:p w:rsidR="003E0019" w:rsidRDefault="003E0019" w:rsidP="00072FBC">
            <w:pPr>
              <w:spacing w:before="60" w:after="60"/>
              <w:rPr>
                <w:sz w:val="20"/>
                <w:szCs w:val="20"/>
              </w:rPr>
            </w:pPr>
          </w:p>
          <w:p w:rsidR="003E0019" w:rsidRPr="00F441D2" w:rsidRDefault="003E0019" w:rsidP="00072FBC">
            <w:pPr>
              <w:spacing w:before="60" w:after="60"/>
              <w:rPr>
                <w:sz w:val="20"/>
                <w:szCs w:val="20"/>
              </w:rPr>
            </w:pPr>
          </w:p>
        </w:tc>
      </w:tr>
      <w:tr w:rsidR="00D61A80" w:rsidRPr="00F441D2" w:rsidTr="00072FBC">
        <w:tc>
          <w:tcPr>
            <w:tcW w:w="1872" w:type="dxa"/>
            <w:vMerge/>
            <w:shd w:val="clear" w:color="auto" w:fill="C6D9F1" w:themeFill="text2" w:themeFillTint="33"/>
          </w:tcPr>
          <w:p w:rsidR="003E0019" w:rsidRPr="00F441D2" w:rsidRDefault="003E0019" w:rsidP="00072FBC">
            <w:pPr>
              <w:spacing w:before="60" w:after="60"/>
              <w:rPr>
                <w:sz w:val="20"/>
                <w:szCs w:val="20"/>
              </w:rPr>
            </w:pPr>
          </w:p>
        </w:tc>
        <w:tc>
          <w:tcPr>
            <w:tcW w:w="3780" w:type="dxa"/>
            <w:shd w:val="clear" w:color="auto" w:fill="C6D9F1" w:themeFill="text2" w:themeFillTint="33"/>
          </w:tcPr>
          <w:p w:rsidR="00D61A80" w:rsidRDefault="003E0019" w:rsidP="00072FBC">
            <w:pPr>
              <w:spacing w:before="60"/>
              <w:rPr>
                <w:sz w:val="20"/>
                <w:szCs w:val="20"/>
              </w:rPr>
            </w:pPr>
            <w:r w:rsidRPr="00F441D2">
              <w:rPr>
                <w:sz w:val="20"/>
                <w:szCs w:val="20"/>
              </w:rPr>
              <w:t>Employment</w:t>
            </w:r>
            <w:r>
              <w:rPr>
                <w:sz w:val="20"/>
                <w:szCs w:val="20"/>
              </w:rPr>
              <w:t xml:space="preserve"> Income</w:t>
            </w:r>
            <w:r w:rsidR="00E66FB6">
              <w:rPr>
                <w:sz w:val="20"/>
                <w:szCs w:val="20"/>
              </w:rPr>
              <w:t xml:space="preserve"> (up to 6 points):</w:t>
            </w:r>
          </w:p>
          <w:p w:rsidR="003E0019" w:rsidRPr="00F441D2" w:rsidRDefault="003E0019" w:rsidP="00072FBC">
            <w:pPr>
              <w:spacing w:after="60"/>
              <w:rPr>
                <w:sz w:val="20"/>
                <w:szCs w:val="20"/>
              </w:rPr>
            </w:pPr>
            <w:r w:rsidRPr="00F441D2">
              <w:rPr>
                <w:sz w:val="20"/>
                <w:szCs w:val="20"/>
              </w:rPr>
              <w:t xml:space="preserve">20% </w:t>
            </w:r>
            <w:r>
              <w:rPr>
                <w:sz w:val="20"/>
                <w:szCs w:val="20"/>
              </w:rPr>
              <w:t xml:space="preserve">or more </w:t>
            </w:r>
            <w:r w:rsidRPr="00F441D2">
              <w:rPr>
                <w:sz w:val="20"/>
                <w:szCs w:val="20"/>
              </w:rPr>
              <w:t>of exiting adults</w:t>
            </w:r>
            <w:r w:rsidR="007F6870">
              <w:rPr>
                <w:sz w:val="20"/>
                <w:szCs w:val="20"/>
              </w:rPr>
              <w:t xml:space="preserve"> maintained or</w:t>
            </w:r>
            <w:r w:rsidRPr="00F441D2">
              <w:rPr>
                <w:sz w:val="20"/>
                <w:szCs w:val="20"/>
              </w:rPr>
              <w:t xml:space="preserve"> </w:t>
            </w:r>
            <w:r>
              <w:rPr>
                <w:sz w:val="20"/>
                <w:szCs w:val="20"/>
              </w:rPr>
              <w:t xml:space="preserve">increased </w:t>
            </w:r>
            <w:r w:rsidRPr="00F441D2">
              <w:rPr>
                <w:sz w:val="20"/>
                <w:szCs w:val="20"/>
              </w:rPr>
              <w:t>employment</w:t>
            </w:r>
            <w:r>
              <w:rPr>
                <w:sz w:val="20"/>
                <w:szCs w:val="20"/>
              </w:rPr>
              <w:t xml:space="preserve"> income</w:t>
            </w:r>
            <w:r w:rsidRPr="00F441D2">
              <w:rPr>
                <w:sz w:val="20"/>
                <w:szCs w:val="20"/>
              </w:rPr>
              <w:t xml:space="preserve"> </w:t>
            </w:r>
          </w:p>
        </w:tc>
        <w:tc>
          <w:tcPr>
            <w:tcW w:w="5076" w:type="dxa"/>
            <w:vMerge/>
            <w:shd w:val="clear" w:color="auto" w:fill="C6D9F1" w:themeFill="text2" w:themeFillTint="33"/>
          </w:tcPr>
          <w:p w:rsidR="003E0019" w:rsidRPr="00F441D2" w:rsidRDefault="003E0019" w:rsidP="00072FBC">
            <w:pPr>
              <w:spacing w:before="60" w:after="60"/>
              <w:rPr>
                <w:sz w:val="20"/>
                <w:szCs w:val="20"/>
              </w:rPr>
            </w:pPr>
          </w:p>
        </w:tc>
      </w:tr>
      <w:tr w:rsidR="00D61A80" w:rsidRPr="00F441D2" w:rsidTr="00072FBC">
        <w:trPr>
          <w:cantSplit/>
          <w:trHeight w:val="827"/>
        </w:trPr>
        <w:tc>
          <w:tcPr>
            <w:tcW w:w="1872" w:type="dxa"/>
            <w:vMerge/>
            <w:shd w:val="clear" w:color="auto" w:fill="C6D9F1" w:themeFill="text2" w:themeFillTint="33"/>
          </w:tcPr>
          <w:p w:rsidR="003E0019" w:rsidRPr="00F441D2" w:rsidRDefault="003E0019" w:rsidP="00072FBC">
            <w:pPr>
              <w:spacing w:before="60" w:after="60"/>
              <w:rPr>
                <w:sz w:val="20"/>
                <w:szCs w:val="20"/>
              </w:rPr>
            </w:pPr>
          </w:p>
        </w:tc>
        <w:tc>
          <w:tcPr>
            <w:tcW w:w="3780" w:type="dxa"/>
            <w:shd w:val="clear" w:color="auto" w:fill="C6D9F1" w:themeFill="text2" w:themeFillTint="33"/>
          </w:tcPr>
          <w:p w:rsidR="003E0019" w:rsidRPr="00F441D2" w:rsidRDefault="003E0019" w:rsidP="00072FBC">
            <w:pPr>
              <w:spacing w:before="60"/>
              <w:rPr>
                <w:sz w:val="20"/>
                <w:szCs w:val="20"/>
              </w:rPr>
            </w:pPr>
            <w:r>
              <w:rPr>
                <w:sz w:val="20"/>
                <w:szCs w:val="20"/>
              </w:rPr>
              <w:t>Non-employment Income</w:t>
            </w:r>
            <w:r w:rsidR="00E66FB6">
              <w:rPr>
                <w:sz w:val="20"/>
                <w:szCs w:val="20"/>
              </w:rPr>
              <w:t xml:space="preserve"> (up to 6 points)</w:t>
            </w:r>
            <w:r>
              <w:rPr>
                <w:sz w:val="20"/>
                <w:szCs w:val="20"/>
              </w:rPr>
              <w:t>:</w:t>
            </w:r>
          </w:p>
          <w:p w:rsidR="003E0019" w:rsidRPr="00F441D2" w:rsidRDefault="003E0019" w:rsidP="007F6870">
            <w:pPr>
              <w:spacing w:after="60"/>
              <w:rPr>
                <w:sz w:val="20"/>
                <w:szCs w:val="20"/>
              </w:rPr>
            </w:pPr>
            <w:r w:rsidRPr="00F441D2">
              <w:rPr>
                <w:sz w:val="20"/>
                <w:szCs w:val="20"/>
              </w:rPr>
              <w:t xml:space="preserve">54% </w:t>
            </w:r>
            <w:r w:rsidR="00134575">
              <w:rPr>
                <w:sz w:val="20"/>
                <w:szCs w:val="20"/>
              </w:rPr>
              <w:t>or more of exiting adults</w:t>
            </w:r>
            <w:r w:rsidRPr="00F441D2">
              <w:rPr>
                <w:sz w:val="20"/>
                <w:szCs w:val="20"/>
              </w:rPr>
              <w:t xml:space="preserve"> </w:t>
            </w:r>
            <w:r w:rsidR="007F6870">
              <w:rPr>
                <w:sz w:val="20"/>
                <w:szCs w:val="20"/>
              </w:rPr>
              <w:t xml:space="preserve">maintained or </w:t>
            </w:r>
            <w:r w:rsidRPr="00F441D2">
              <w:rPr>
                <w:sz w:val="20"/>
                <w:szCs w:val="20"/>
              </w:rPr>
              <w:t xml:space="preserve">increased non-employment </w:t>
            </w:r>
            <w:r w:rsidR="007F6870">
              <w:rPr>
                <w:sz w:val="20"/>
                <w:szCs w:val="20"/>
              </w:rPr>
              <w:t>income</w:t>
            </w:r>
          </w:p>
        </w:tc>
        <w:tc>
          <w:tcPr>
            <w:tcW w:w="5076" w:type="dxa"/>
            <w:vMerge/>
            <w:shd w:val="clear" w:color="auto" w:fill="C6D9F1" w:themeFill="text2" w:themeFillTint="33"/>
          </w:tcPr>
          <w:p w:rsidR="003E0019" w:rsidRPr="00F441D2" w:rsidRDefault="003E0019" w:rsidP="00072FBC">
            <w:pPr>
              <w:spacing w:before="60" w:after="60"/>
              <w:rPr>
                <w:sz w:val="20"/>
                <w:szCs w:val="20"/>
              </w:rPr>
            </w:pPr>
          </w:p>
        </w:tc>
      </w:tr>
      <w:tr w:rsidR="00D61A80" w:rsidRPr="00F441D2" w:rsidTr="00072FBC">
        <w:trPr>
          <w:cantSplit/>
          <w:trHeight w:val="890"/>
        </w:trPr>
        <w:tc>
          <w:tcPr>
            <w:tcW w:w="1872" w:type="dxa"/>
            <w:vMerge/>
            <w:shd w:val="clear" w:color="auto" w:fill="C6D9F1" w:themeFill="text2" w:themeFillTint="33"/>
          </w:tcPr>
          <w:p w:rsidR="003E0019" w:rsidRPr="00F441D2" w:rsidRDefault="003E0019" w:rsidP="00072FBC">
            <w:pPr>
              <w:spacing w:before="60" w:after="60"/>
              <w:rPr>
                <w:sz w:val="20"/>
                <w:szCs w:val="20"/>
              </w:rPr>
            </w:pPr>
          </w:p>
        </w:tc>
        <w:tc>
          <w:tcPr>
            <w:tcW w:w="3780" w:type="dxa"/>
            <w:shd w:val="clear" w:color="auto" w:fill="C6D9F1" w:themeFill="text2" w:themeFillTint="33"/>
          </w:tcPr>
          <w:p w:rsidR="003E0019" w:rsidRPr="00F441D2" w:rsidRDefault="003E0019" w:rsidP="00072FBC">
            <w:pPr>
              <w:spacing w:before="60"/>
              <w:rPr>
                <w:sz w:val="20"/>
                <w:szCs w:val="20"/>
              </w:rPr>
            </w:pPr>
            <w:r>
              <w:rPr>
                <w:sz w:val="20"/>
                <w:szCs w:val="20"/>
              </w:rPr>
              <w:t xml:space="preserve">Mainstream </w:t>
            </w:r>
            <w:r w:rsidRPr="00F441D2">
              <w:rPr>
                <w:sz w:val="20"/>
                <w:szCs w:val="20"/>
              </w:rPr>
              <w:t>Benefits</w:t>
            </w:r>
            <w:r w:rsidR="00E66FB6">
              <w:rPr>
                <w:sz w:val="20"/>
                <w:szCs w:val="20"/>
              </w:rPr>
              <w:t xml:space="preserve"> (up to 6 points)</w:t>
            </w:r>
            <w:r>
              <w:rPr>
                <w:sz w:val="20"/>
                <w:szCs w:val="20"/>
              </w:rPr>
              <w:t>:</w:t>
            </w:r>
          </w:p>
          <w:p w:rsidR="003E0019" w:rsidRPr="00F441D2" w:rsidRDefault="003E0019" w:rsidP="007F6870">
            <w:pPr>
              <w:spacing w:after="60"/>
              <w:rPr>
                <w:sz w:val="20"/>
                <w:szCs w:val="20"/>
              </w:rPr>
            </w:pPr>
            <w:r w:rsidRPr="00F441D2">
              <w:rPr>
                <w:sz w:val="20"/>
                <w:szCs w:val="20"/>
              </w:rPr>
              <w:t>56%</w:t>
            </w:r>
            <w:r w:rsidR="007A0306">
              <w:rPr>
                <w:sz w:val="20"/>
                <w:szCs w:val="20"/>
              </w:rPr>
              <w:t>or more</w:t>
            </w:r>
            <w:r w:rsidRPr="00F441D2">
              <w:rPr>
                <w:sz w:val="20"/>
                <w:szCs w:val="20"/>
              </w:rPr>
              <w:t xml:space="preserve"> of exiting adults </w:t>
            </w:r>
            <w:r w:rsidR="007F6870">
              <w:rPr>
                <w:sz w:val="20"/>
                <w:szCs w:val="20"/>
              </w:rPr>
              <w:t xml:space="preserve">maintained or </w:t>
            </w:r>
            <w:r w:rsidRPr="00F441D2">
              <w:rPr>
                <w:sz w:val="20"/>
                <w:szCs w:val="20"/>
              </w:rPr>
              <w:t>increased mainstream benefits</w:t>
            </w:r>
          </w:p>
        </w:tc>
        <w:tc>
          <w:tcPr>
            <w:tcW w:w="5076" w:type="dxa"/>
            <w:vMerge/>
            <w:shd w:val="clear" w:color="auto" w:fill="C6D9F1" w:themeFill="text2" w:themeFillTint="33"/>
          </w:tcPr>
          <w:p w:rsidR="003E0019" w:rsidRPr="00F441D2" w:rsidRDefault="003E0019" w:rsidP="00072FBC">
            <w:pPr>
              <w:spacing w:before="60" w:after="60"/>
              <w:rPr>
                <w:sz w:val="20"/>
                <w:szCs w:val="20"/>
              </w:rPr>
            </w:pPr>
          </w:p>
        </w:tc>
      </w:tr>
      <w:tr w:rsidR="00D61A80" w:rsidRPr="00F441D2" w:rsidTr="00072FBC">
        <w:tc>
          <w:tcPr>
            <w:tcW w:w="1872" w:type="dxa"/>
            <w:vMerge w:val="restart"/>
            <w:shd w:val="clear" w:color="auto" w:fill="F2F2F2" w:themeFill="background1" w:themeFillShade="F2"/>
            <w:vAlign w:val="center"/>
          </w:tcPr>
          <w:p w:rsidR="00E51B63" w:rsidRPr="004E7DB4" w:rsidRDefault="00E51B63" w:rsidP="00072FBC">
            <w:pPr>
              <w:spacing w:after="60"/>
              <w:rPr>
                <w:b/>
                <w:sz w:val="24"/>
                <w:szCs w:val="24"/>
              </w:rPr>
            </w:pPr>
            <w:r w:rsidRPr="004E7DB4">
              <w:rPr>
                <w:b/>
                <w:sz w:val="24"/>
                <w:szCs w:val="24"/>
              </w:rPr>
              <w:t>FINANCIAL</w:t>
            </w:r>
          </w:p>
          <w:p w:rsidR="00E51B63" w:rsidRPr="004E7DB4" w:rsidRDefault="001F15F8" w:rsidP="00072FBC">
            <w:pPr>
              <w:spacing w:after="60"/>
              <w:rPr>
                <w:sz w:val="20"/>
                <w:szCs w:val="20"/>
              </w:rPr>
            </w:pPr>
            <w:r>
              <w:rPr>
                <w:sz w:val="20"/>
                <w:szCs w:val="20"/>
              </w:rPr>
              <w:t>20</w:t>
            </w:r>
            <w:r w:rsidR="00134575">
              <w:rPr>
                <w:sz w:val="20"/>
                <w:szCs w:val="20"/>
              </w:rPr>
              <w:t xml:space="preserve"> </w:t>
            </w:r>
            <w:r w:rsidR="00E51B63" w:rsidRPr="004E7DB4">
              <w:rPr>
                <w:sz w:val="20"/>
                <w:szCs w:val="20"/>
              </w:rPr>
              <w:t>points</w:t>
            </w:r>
          </w:p>
          <w:p w:rsidR="00E51B63" w:rsidRDefault="00E51B63" w:rsidP="00072FBC">
            <w:pPr>
              <w:spacing w:before="60"/>
              <w:rPr>
                <w:i/>
                <w:sz w:val="20"/>
                <w:szCs w:val="20"/>
              </w:rPr>
            </w:pPr>
            <w:r w:rsidRPr="004E7DB4">
              <w:rPr>
                <w:i/>
                <w:sz w:val="20"/>
                <w:szCs w:val="20"/>
              </w:rPr>
              <w:t>Source:</w:t>
            </w:r>
          </w:p>
          <w:p w:rsidR="00E51B63" w:rsidRPr="00F441D2" w:rsidRDefault="00E51B63" w:rsidP="00072FBC">
            <w:pPr>
              <w:spacing w:after="60"/>
              <w:rPr>
                <w:b/>
                <w:sz w:val="20"/>
                <w:szCs w:val="20"/>
              </w:rPr>
            </w:pPr>
            <w:r w:rsidRPr="006137D7">
              <w:rPr>
                <w:sz w:val="20"/>
                <w:szCs w:val="20"/>
              </w:rPr>
              <w:t>Budget submittal, leverage letters,</w:t>
            </w:r>
            <w:r w:rsidR="00134575">
              <w:rPr>
                <w:b/>
                <w:sz w:val="20"/>
                <w:szCs w:val="20"/>
              </w:rPr>
              <w:t xml:space="preserve"> </w:t>
            </w:r>
            <w:r w:rsidR="00134575" w:rsidRPr="00134575">
              <w:rPr>
                <w:sz w:val="20"/>
                <w:szCs w:val="20"/>
              </w:rPr>
              <w:t>program audit</w:t>
            </w:r>
          </w:p>
        </w:tc>
        <w:tc>
          <w:tcPr>
            <w:tcW w:w="3780" w:type="dxa"/>
            <w:shd w:val="clear" w:color="auto" w:fill="F2F2F2" w:themeFill="background1" w:themeFillShade="F2"/>
          </w:tcPr>
          <w:p w:rsidR="00E51B63" w:rsidRPr="00F441D2" w:rsidRDefault="00E51B63" w:rsidP="00072FBC">
            <w:pPr>
              <w:spacing w:before="60" w:after="60"/>
              <w:rPr>
                <w:sz w:val="20"/>
                <w:szCs w:val="20"/>
              </w:rPr>
            </w:pPr>
            <w:r>
              <w:rPr>
                <w:sz w:val="20"/>
                <w:szCs w:val="20"/>
              </w:rPr>
              <w:t>Voluntary budget reduction</w:t>
            </w:r>
            <w:r w:rsidR="001F15F8">
              <w:rPr>
                <w:sz w:val="20"/>
                <w:szCs w:val="20"/>
              </w:rPr>
              <w:t xml:space="preserve"> (up to 8</w:t>
            </w:r>
            <w:r w:rsidR="00096A89">
              <w:rPr>
                <w:sz w:val="20"/>
                <w:szCs w:val="20"/>
              </w:rPr>
              <w:t xml:space="preserve"> points)</w:t>
            </w:r>
          </w:p>
        </w:tc>
        <w:tc>
          <w:tcPr>
            <w:tcW w:w="5076" w:type="dxa"/>
            <w:shd w:val="clear" w:color="auto" w:fill="F2F2F2" w:themeFill="background1" w:themeFillShade="F2"/>
          </w:tcPr>
          <w:p w:rsidR="00E51B63" w:rsidRDefault="00E51B63" w:rsidP="00072FBC">
            <w:pPr>
              <w:spacing w:before="60"/>
              <w:rPr>
                <w:sz w:val="20"/>
                <w:szCs w:val="20"/>
              </w:rPr>
            </w:pPr>
            <w:r>
              <w:rPr>
                <w:sz w:val="20"/>
                <w:szCs w:val="20"/>
              </w:rPr>
              <w:t xml:space="preserve">Reduction of more than 5% </w:t>
            </w:r>
            <w:r w:rsidR="001F15F8">
              <w:rPr>
                <w:sz w:val="20"/>
                <w:szCs w:val="20"/>
              </w:rPr>
              <w:t>or more</w:t>
            </w:r>
            <w:r>
              <w:rPr>
                <w:sz w:val="20"/>
                <w:szCs w:val="20"/>
              </w:rPr>
              <w:t xml:space="preserve">- </w:t>
            </w:r>
            <w:r w:rsidR="001F15F8">
              <w:rPr>
                <w:sz w:val="20"/>
                <w:szCs w:val="20"/>
              </w:rPr>
              <w:t>8</w:t>
            </w:r>
            <w:r>
              <w:rPr>
                <w:sz w:val="20"/>
                <w:szCs w:val="20"/>
              </w:rPr>
              <w:t xml:space="preserve"> points</w:t>
            </w:r>
            <w:r w:rsidR="005179EC">
              <w:rPr>
                <w:sz w:val="20"/>
                <w:szCs w:val="20"/>
              </w:rPr>
              <w:t>;</w:t>
            </w:r>
          </w:p>
          <w:p w:rsidR="00E51B63" w:rsidRPr="00F441D2" w:rsidRDefault="00E51B63" w:rsidP="005179EC">
            <w:pPr>
              <w:rPr>
                <w:sz w:val="20"/>
                <w:szCs w:val="20"/>
              </w:rPr>
            </w:pPr>
            <w:r>
              <w:rPr>
                <w:sz w:val="20"/>
                <w:szCs w:val="20"/>
              </w:rPr>
              <w:t xml:space="preserve">Reduction of </w:t>
            </w:r>
            <w:r w:rsidR="001F15F8">
              <w:rPr>
                <w:sz w:val="20"/>
                <w:szCs w:val="20"/>
              </w:rPr>
              <w:t>4</w:t>
            </w:r>
            <w:r>
              <w:rPr>
                <w:sz w:val="20"/>
                <w:szCs w:val="20"/>
              </w:rPr>
              <w:t>%</w:t>
            </w:r>
            <w:r w:rsidR="001F15F8">
              <w:rPr>
                <w:sz w:val="20"/>
                <w:szCs w:val="20"/>
              </w:rPr>
              <w:t xml:space="preserve"> -</w:t>
            </w:r>
            <w:r w:rsidR="00BE4303">
              <w:rPr>
                <w:sz w:val="20"/>
                <w:szCs w:val="20"/>
              </w:rPr>
              <w:t xml:space="preserve"> </w:t>
            </w:r>
            <w:r w:rsidR="001F15F8">
              <w:rPr>
                <w:sz w:val="20"/>
                <w:szCs w:val="20"/>
              </w:rPr>
              <w:t>6</w:t>
            </w:r>
            <w:r>
              <w:rPr>
                <w:sz w:val="20"/>
                <w:szCs w:val="20"/>
              </w:rPr>
              <w:t xml:space="preserve"> points</w:t>
            </w:r>
            <w:r w:rsidR="005179EC">
              <w:rPr>
                <w:sz w:val="20"/>
                <w:szCs w:val="20"/>
              </w:rPr>
              <w:t xml:space="preserve">; </w:t>
            </w:r>
            <w:r w:rsidR="001F15F8">
              <w:rPr>
                <w:sz w:val="20"/>
                <w:szCs w:val="20"/>
              </w:rPr>
              <w:t>Reduction of 2-3</w:t>
            </w:r>
            <w:r>
              <w:rPr>
                <w:sz w:val="20"/>
                <w:szCs w:val="20"/>
              </w:rPr>
              <w:t xml:space="preserve">% - </w:t>
            </w:r>
            <w:r w:rsidR="001F15F8">
              <w:rPr>
                <w:sz w:val="20"/>
                <w:szCs w:val="20"/>
              </w:rPr>
              <w:t>4</w:t>
            </w:r>
            <w:r>
              <w:rPr>
                <w:sz w:val="20"/>
                <w:szCs w:val="20"/>
              </w:rPr>
              <w:t xml:space="preserve"> points</w:t>
            </w:r>
          </w:p>
        </w:tc>
      </w:tr>
      <w:tr w:rsidR="00D61A80" w:rsidRPr="00F441D2" w:rsidTr="00072FBC">
        <w:tc>
          <w:tcPr>
            <w:tcW w:w="1872" w:type="dxa"/>
            <w:vMerge/>
            <w:shd w:val="clear" w:color="auto" w:fill="F2F2F2" w:themeFill="background1" w:themeFillShade="F2"/>
          </w:tcPr>
          <w:p w:rsidR="00E51B63" w:rsidRPr="00F441D2" w:rsidRDefault="00E51B63" w:rsidP="00072FBC">
            <w:pPr>
              <w:spacing w:before="60" w:after="60"/>
              <w:rPr>
                <w:sz w:val="20"/>
                <w:szCs w:val="20"/>
              </w:rPr>
            </w:pPr>
          </w:p>
        </w:tc>
        <w:tc>
          <w:tcPr>
            <w:tcW w:w="3780" w:type="dxa"/>
            <w:shd w:val="clear" w:color="auto" w:fill="F2F2F2" w:themeFill="background1" w:themeFillShade="F2"/>
          </w:tcPr>
          <w:p w:rsidR="00E51B63" w:rsidRPr="00F441D2" w:rsidRDefault="00E51B63" w:rsidP="00072FBC">
            <w:pPr>
              <w:spacing w:before="60" w:after="60"/>
              <w:rPr>
                <w:sz w:val="20"/>
                <w:szCs w:val="20"/>
              </w:rPr>
            </w:pPr>
            <w:r>
              <w:rPr>
                <w:sz w:val="20"/>
                <w:szCs w:val="20"/>
              </w:rPr>
              <w:t>Leverage</w:t>
            </w:r>
            <w:r w:rsidR="00096A89">
              <w:rPr>
                <w:sz w:val="20"/>
                <w:szCs w:val="20"/>
              </w:rPr>
              <w:t xml:space="preserve"> (up to </w:t>
            </w:r>
            <w:r w:rsidR="001F15F8">
              <w:rPr>
                <w:sz w:val="20"/>
                <w:szCs w:val="20"/>
              </w:rPr>
              <w:t>8</w:t>
            </w:r>
            <w:r w:rsidR="00096A89">
              <w:rPr>
                <w:sz w:val="20"/>
                <w:szCs w:val="20"/>
              </w:rPr>
              <w:t xml:space="preserve"> points)</w:t>
            </w:r>
          </w:p>
        </w:tc>
        <w:tc>
          <w:tcPr>
            <w:tcW w:w="5076" w:type="dxa"/>
            <w:shd w:val="clear" w:color="auto" w:fill="F2F2F2" w:themeFill="background1" w:themeFillShade="F2"/>
          </w:tcPr>
          <w:p w:rsidR="00E51B63" w:rsidRDefault="00E51B63" w:rsidP="00072FBC">
            <w:pPr>
              <w:spacing w:before="60"/>
              <w:rPr>
                <w:sz w:val="20"/>
                <w:szCs w:val="20"/>
              </w:rPr>
            </w:pPr>
            <w:r>
              <w:rPr>
                <w:sz w:val="20"/>
                <w:szCs w:val="20"/>
              </w:rPr>
              <w:t>Documen</w:t>
            </w:r>
            <w:r w:rsidR="001F15F8">
              <w:rPr>
                <w:sz w:val="20"/>
                <w:szCs w:val="20"/>
              </w:rPr>
              <w:t>ted leverage of 175% or more – 8</w:t>
            </w:r>
            <w:r>
              <w:rPr>
                <w:sz w:val="20"/>
                <w:szCs w:val="20"/>
              </w:rPr>
              <w:t xml:space="preserve"> points</w:t>
            </w:r>
          </w:p>
          <w:p w:rsidR="00E51B63" w:rsidRDefault="00E51B63" w:rsidP="00072FBC">
            <w:pPr>
              <w:rPr>
                <w:sz w:val="20"/>
                <w:szCs w:val="20"/>
              </w:rPr>
            </w:pPr>
            <w:r>
              <w:rPr>
                <w:sz w:val="20"/>
                <w:szCs w:val="20"/>
              </w:rPr>
              <w:t>Doc</w:t>
            </w:r>
            <w:r w:rsidR="00BE4303">
              <w:rPr>
                <w:sz w:val="20"/>
                <w:szCs w:val="20"/>
              </w:rPr>
              <w:t>umented leverage of 150-174% - 6</w:t>
            </w:r>
            <w:r>
              <w:rPr>
                <w:sz w:val="20"/>
                <w:szCs w:val="20"/>
              </w:rPr>
              <w:t xml:space="preserve"> points</w:t>
            </w:r>
          </w:p>
          <w:p w:rsidR="00E51B63" w:rsidRPr="00F441D2" w:rsidRDefault="00E51B63" w:rsidP="00072FBC">
            <w:pPr>
              <w:spacing w:after="60"/>
              <w:rPr>
                <w:sz w:val="20"/>
                <w:szCs w:val="20"/>
              </w:rPr>
            </w:pPr>
            <w:r>
              <w:rPr>
                <w:sz w:val="20"/>
                <w:szCs w:val="20"/>
              </w:rPr>
              <w:t xml:space="preserve">Documented leverage of 100-149% - </w:t>
            </w:r>
            <w:r w:rsidR="00BE4303">
              <w:rPr>
                <w:sz w:val="20"/>
                <w:szCs w:val="20"/>
              </w:rPr>
              <w:t xml:space="preserve">3 </w:t>
            </w:r>
            <w:r>
              <w:rPr>
                <w:sz w:val="20"/>
                <w:szCs w:val="20"/>
              </w:rPr>
              <w:t>points</w:t>
            </w:r>
          </w:p>
        </w:tc>
      </w:tr>
      <w:tr w:rsidR="00D61A80" w:rsidRPr="00F441D2" w:rsidTr="00072FBC">
        <w:tc>
          <w:tcPr>
            <w:tcW w:w="1872" w:type="dxa"/>
            <w:vMerge/>
            <w:shd w:val="clear" w:color="auto" w:fill="F2F2F2" w:themeFill="background1" w:themeFillShade="F2"/>
          </w:tcPr>
          <w:p w:rsidR="00AB391A" w:rsidRPr="00F441D2" w:rsidRDefault="00AB391A" w:rsidP="00072FBC">
            <w:pPr>
              <w:spacing w:before="60" w:after="60"/>
              <w:rPr>
                <w:sz w:val="20"/>
                <w:szCs w:val="20"/>
              </w:rPr>
            </w:pPr>
          </w:p>
        </w:tc>
        <w:tc>
          <w:tcPr>
            <w:tcW w:w="3780" w:type="dxa"/>
            <w:shd w:val="clear" w:color="auto" w:fill="F2F2F2" w:themeFill="background1" w:themeFillShade="F2"/>
          </w:tcPr>
          <w:p w:rsidR="00AB391A" w:rsidRPr="00F441D2" w:rsidRDefault="00AB391A" w:rsidP="00072FBC">
            <w:pPr>
              <w:spacing w:before="60" w:after="60"/>
              <w:rPr>
                <w:sz w:val="20"/>
                <w:szCs w:val="20"/>
              </w:rPr>
            </w:pPr>
            <w:r>
              <w:rPr>
                <w:sz w:val="20"/>
                <w:szCs w:val="20"/>
              </w:rPr>
              <w:t xml:space="preserve">Audit </w:t>
            </w:r>
            <w:r w:rsidR="001F15F8">
              <w:rPr>
                <w:sz w:val="20"/>
                <w:szCs w:val="20"/>
              </w:rPr>
              <w:t>(up to 4</w:t>
            </w:r>
            <w:r>
              <w:rPr>
                <w:sz w:val="20"/>
                <w:szCs w:val="20"/>
              </w:rPr>
              <w:t xml:space="preserve"> points)</w:t>
            </w:r>
          </w:p>
        </w:tc>
        <w:tc>
          <w:tcPr>
            <w:tcW w:w="5076" w:type="dxa"/>
            <w:shd w:val="clear" w:color="auto" w:fill="F2F2F2" w:themeFill="background1" w:themeFillShade="F2"/>
          </w:tcPr>
          <w:p w:rsidR="00AB391A" w:rsidRPr="00F441D2" w:rsidRDefault="00AB391A" w:rsidP="00072FBC">
            <w:pPr>
              <w:spacing w:before="60" w:after="60"/>
              <w:rPr>
                <w:sz w:val="20"/>
                <w:szCs w:val="20"/>
              </w:rPr>
            </w:pPr>
            <w:r>
              <w:rPr>
                <w:sz w:val="20"/>
                <w:szCs w:val="20"/>
              </w:rPr>
              <w:t xml:space="preserve">No findings – </w:t>
            </w:r>
            <w:r w:rsidR="001F15F8">
              <w:rPr>
                <w:sz w:val="20"/>
                <w:szCs w:val="20"/>
              </w:rPr>
              <w:t>4</w:t>
            </w:r>
            <w:r>
              <w:rPr>
                <w:sz w:val="20"/>
                <w:szCs w:val="20"/>
              </w:rPr>
              <w:t xml:space="preserve"> points; Findings – 0 points</w:t>
            </w:r>
          </w:p>
        </w:tc>
      </w:tr>
      <w:tr w:rsidR="00D61A80" w:rsidRPr="00F441D2" w:rsidTr="00072FBC">
        <w:tc>
          <w:tcPr>
            <w:tcW w:w="1872" w:type="dxa"/>
            <w:vMerge/>
            <w:shd w:val="clear" w:color="auto" w:fill="F2F2F2" w:themeFill="background1" w:themeFillShade="F2"/>
          </w:tcPr>
          <w:p w:rsidR="00AB391A" w:rsidRPr="00F441D2" w:rsidRDefault="00AB391A" w:rsidP="00072FBC">
            <w:pPr>
              <w:spacing w:before="60" w:after="60"/>
              <w:rPr>
                <w:sz w:val="20"/>
                <w:szCs w:val="20"/>
              </w:rPr>
            </w:pPr>
          </w:p>
        </w:tc>
        <w:tc>
          <w:tcPr>
            <w:tcW w:w="3780" w:type="dxa"/>
            <w:shd w:val="clear" w:color="auto" w:fill="F2F2F2" w:themeFill="background1" w:themeFillShade="F2"/>
          </w:tcPr>
          <w:p w:rsidR="00AB391A" w:rsidRDefault="00AB391A" w:rsidP="00072FBC">
            <w:pPr>
              <w:spacing w:before="60" w:after="60"/>
              <w:rPr>
                <w:sz w:val="20"/>
                <w:szCs w:val="20"/>
              </w:rPr>
            </w:pPr>
            <w:r>
              <w:rPr>
                <w:sz w:val="20"/>
                <w:szCs w:val="20"/>
              </w:rPr>
              <w:t>Budget submission</w:t>
            </w:r>
            <w:r w:rsidR="00291061">
              <w:rPr>
                <w:sz w:val="20"/>
                <w:szCs w:val="20"/>
              </w:rPr>
              <w:t xml:space="preserve"> (no points awarded, but may result in point deduction)</w:t>
            </w:r>
          </w:p>
        </w:tc>
        <w:tc>
          <w:tcPr>
            <w:tcW w:w="5076" w:type="dxa"/>
            <w:shd w:val="clear" w:color="auto" w:fill="F2F2F2" w:themeFill="background1" w:themeFillShade="F2"/>
          </w:tcPr>
          <w:p w:rsidR="00AB391A" w:rsidRPr="00F441D2" w:rsidRDefault="00EC7EF0" w:rsidP="00072FBC">
            <w:pPr>
              <w:spacing w:before="60" w:after="60"/>
              <w:rPr>
                <w:sz w:val="20"/>
                <w:szCs w:val="20"/>
              </w:rPr>
            </w:pPr>
            <w:r>
              <w:rPr>
                <w:sz w:val="20"/>
                <w:szCs w:val="20"/>
              </w:rPr>
              <w:t>5</w:t>
            </w:r>
            <w:r w:rsidR="00AB391A">
              <w:rPr>
                <w:sz w:val="20"/>
                <w:szCs w:val="20"/>
              </w:rPr>
              <w:t xml:space="preserve"> points  deducted for a budget which is inaccurate or not compliant with CoC Interim Rule requirements</w:t>
            </w:r>
          </w:p>
        </w:tc>
      </w:tr>
      <w:tr w:rsidR="00D61A80" w:rsidRPr="00F441D2" w:rsidTr="00072FBC">
        <w:trPr>
          <w:trHeight w:val="368"/>
        </w:trPr>
        <w:tc>
          <w:tcPr>
            <w:tcW w:w="1872" w:type="dxa"/>
            <w:vMerge w:val="restart"/>
            <w:shd w:val="clear" w:color="auto" w:fill="C6D9F1" w:themeFill="text2" w:themeFillTint="33"/>
          </w:tcPr>
          <w:p w:rsidR="00AB391A" w:rsidRPr="004E7DB4" w:rsidRDefault="00AB391A" w:rsidP="00072FBC">
            <w:pPr>
              <w:spacing w:before="60"/>
              <w:rPr>
                <w:b/>
                <w:sz w:val="24"/>
                <w:szCs w:val="24"/>
              </w:rPr>
            </w:pPr>
            <w:r w:rsidRPr="004E7DB4">
              <w:rPr>
                <w:b/>
                <w:sz w:val="24"/>
                <w:szCs w:val="24"/>
              </w:rPr>
              <w:t>PROGRAM MANAGEMENT</w:t>
            </w:r>
          </w:p>
          <w:p w:rsidR="00AB391A" w:rsidRPr="004E7DB4" w:rsidRDefault="00AB391A" w:rsidP="00072FBC">
            <w:pPr>
              <w:spacing w:after="60"/>
              <w:rPr>
                <w:sz w:val="20"/>
                <w:szCs w:val="20"/>
              </w:rPr>
            </w:pPr>
            <w:r w:rsidRPr="004E7DB4">
              <w:rPr>
                <w:sz w:val="20"/>
                <w:szCs w:val="20"/>
              </w:rPr>
              <w:t>20 points</w:t>
            </w:r>
          </w:p>
          <w:p w:rsidR="00AB391A" w:rsidRDefault="00AB391A" w:rsidP="00072FBC">
            <w:pPr>
              <w:spacing w:before="60"/>
              <w:rPr>
                <w:i/>
                <w:sz w:val="20"/>
                <w:szCs w:val="20"/>
              </w:rPr>
            </w:pPr>
            <w:r w:rsidRPr="004E7DB4">
              <w:rPr>
                <w:i/>
                <w:sz w:val="20"/>
                <w:szCs w:val="20"/>
              </w:rPr>
              <w:t>Source:</w:t>
            </w:r>
          </w:p>
          <w:p w:rsidR="00AB391A" w:rsidRPr="004E7DB4" w:rsidRDefault="00AB391A" w:rsidP="00072FBC">
            <w:pPr>
              <w:spacing w:after="60"/>
              <w:rPr>
                <w:sz w:val="20"/>
                <w:szCs w:val="20"/>
              </w:rPr>
            </w:pPr>
            <w:r w:rsidRPr="004E7DB4">
              <w:rPr>
                <w:sz w:val="20"/>
                <w:szCs w:val="20"/>
              </w:rPr>
              <w:t>APR</w:t>
            </w:r>
            <w:r>
              <w:rPr>
                <w:sz w:val="20"/>
                <w:szCs w:val="20"/>
              </w:rPr>
              <w:t>, agency policies and procedures</w:t>
            </w:r>
          </w:p>
        </w:tc>
        <w:tc>
          <w:tcPr>
            <w:tcW w:w="3780" w:type="dxa"/>
            <w:shd w:val="clear" w:color="auto" w:fill="C6D9F1" w:themeFill="text2" w:themeFillTint="33"/>
          </w:tcPr>
          <w:p w:rsidR="00AB391A" w:rsidRPr="00F441D2" w:rsidRDefault="00AB391A" w:rsidP="00072FBC">
            <w:pPr>
              <w:spacing w:before="60" w:after="60"/>
              <w:rPr>
                <w:sz w:val="20"/>
                <w:szCs w:val="20"/>
              </w:rPr>
            </w:pPr>
            <w:r w:rsidRPr="00F441D2">
              <w:rPr>
                <w:sz w:val="20"/>
                <w:szCs w:val="20"/>
              </w:rPr>
              <w:t>HMIS data quality</w:t>
            </w:r>
            <w:r w:rsidR="00BE4303">
              <w:rPr>
                <w:sz w:val="20"/>
                <w:szCs w:val="20"/>
              </w:rPr>
              <w:t xml:space="preserve"> (up to</w:t>
            </w:r>
            <w:r w:rsidR="001F15F8">
              <w:rPr>
                <w:sz w:val="20"/>
                <w:szCs w:val="20"/>
              </w:rPr>
              <w:t xml:space="preserve"> </w:t>
            </w:r>
            <w:r w:rsidR="00BE4303">
              <w:rPr>
                <w:sz w:val="20"/>
                <w:szCs w:val="20"/>
              </w:rPr>
              <w:t>7</w:t>
            </w:r>
            <w:r>
              <w:rPr>
                <w:sz w:val="20"/>
                <w:szCs w:val="20"/>
              </w:rPr>
              <w:t xml:space="preserve"> points</w:t>
            </w:r>
            <w:r w:rsidR="00BE4303">
              <w:rPr>
                <w:sz w:val="20"/>
                <w:szCs w:val="20"/>
              </w:rPr>
              <w:t>)</w:t>
            </w:r>
          </w:p>
        </w:tc>
        <w:tc>
          <w:tcPr>
            <w:tcW w:w="5076" w:type="dxa"/>
            <w:shd w:val="clear" w:color="auto" w:fill="C6D9F1" w:themeFill="text2" w:themeFillTint="33"/>
          </w:tcPr>
          <w:p w:rsidR="00AB391A" w:rsidRDefault="00AB391A" w:rsidP="00072FBC">
            <w:pPr>
              <w:spacing w:before="60"/>
              <w:rPr>
                <w:sz w:val="20"/>
                <w:szCs w:val="20"/>
              </w:rPr>
            </w:pPr>
            <w:r w:rsidRPr="00F441D2">
              <w:rPr>
                <w:sz w:val="20"/>
                <w:szCs w:val="20"/>
              </w:rPr>
              <w:t>5% or less null</w:t>
            </w:r>
            <w:r>
              <w:rPr>
                <w:sz w:val="20"/>
                <w:szCs w:val="20"/>
              </w:rPr>
              <w:t>/</w:t>
            </w:r>
            <w:r w:rsidRPr="00F441D2">
              <w:rPr>
                <w:sz w:val="20"/>
                <w:szCs w:val="20"/>
              </w:rPr>
              <w:t>missing data</w:t>
            </w:r>
            <w:r w:rsidR="00D97140">
              <w:rPr>
                <w:sz w:val="20"/>
                <w:szCs w:val="20"/>
              </w:rPr>
              <w:t xml:space="preserve"> – 7</w:t>
            </w:r>
            <w:r>
              <w:rPr>
                <w:sz w:val="20"/>
                <w:szCs w:val="20"/>
              </w:rPr>
              <w:t xml:space="preserve"> points</w:t>
            </w:r>
          </w:p>
          <w:p w:rsidR="00AB391A" w:rsidRPr="00F441D2" w:rsidRDefault="00AB391A" w:rsidP="00072FBC">
            <w:pPr>
              <w:spacing w:after="60"/>
              <w:rPr>
                <w:sz w:val="20"/>
                <w:szCs w:val="20"/>
              </w:rPr>
            </w:pPr>
            <w:r>
              <w:rPr>
                <w:sz w:val="20"/>
                <w:szCs w:val="20"/>
              </w:rPr>
              <w:t>6-10%</w:t>
            </w:r>
            <w:r w:rsidR="00D97140">
              <w:rPr>
                <w:sz w:val="20"/>
                <w:szCs w:val="20"/>
              </w:rPr>
              <w:t xml:space="preserve"> null/missing data – 4</w:t>
            </w:r>
            <w:r>
              <w:rPr>
                <w:sz w:val="20"/>
                <w:szCs w:val="20"/>
              </w:rPr>
              <w:t xml:space="preserve"> points</w:t>
            </w:r>
            <w:r w:rsidRPr="00F441D2">
              <w:rPr>
                <w:sz w:val="20"/>
                <w:szCs w:val="20"/>
              </w:rPr>
              <w:t xml:space="preserve"> </w:t>
            </w:r>
          </w:p>
        </w:tc>
      </w:tr>
      <w:tr w:rsidR="00D61A80" w:rsidRPr="00F441D2" w:rsidTr="00072FBC">
        <w:tc>
          <w:tcPr>
            <w:tcW w:w="1872" w:type="dxa"/>
            <w:vMerge/>
            <w:shd w:val="clear" w:color="auto" w:fill="C6D9F1" w:themeFill="text2" w:themeFillTint="33"/>
          </w:tcPr>
          <w:p w:rsidR="00AB391A" w:rsidRPr="00F441D2" w:rsidRDefault="00AB391A" w:rsidP="00072FBC">
            <w:pPr>
              <w:spacing w:before="60" w:after="60"/>
              <w:rPr>
                <w:sz w:val="20"/>
                <w:szCs w:val="20"/>
              </w:rPr>
            </w:pPr>
          </w:p>
        </w:tc>
        <w:tc>
          <w:tcPr>
            <w:tcW w:w="3780" w:type="dxa"/>
            <w:shd w:val="clear" w:color="auto" w:fill="C6D9F1" w:themeFill="text2" w:themeFillTint="33"/>
          </w:tcPr>
          <w:p w:rsidR="00AB391A" w:rsidRPr="00F441D2" w:rsidRDefault="00BE4303" w:rsidP="00072FBC">
            <w:pPr>
              <w:spacing w:before="60" w:after="60"/>
              <w:rPr>
                <w:sz w:val="20"/>
                <w:szCs w:val="20"/>
              </w:rPr>
            </w:pPr>
            <w:r>
              <w:rPr>
                <w:sz w:val="20"/>
                <w:szCs w:val="20"/>
              </w:rPr>
              <w:t>Program utilization (up to 7</w:t>
            </w:r>
            <w:r w:rsidR="00AB391A" w:rsidRPr="00F441D2">
              <w:rPr>
                <w:sz w:val="20"/>
                <w:szCs w:val="20"/>
              </w:rPr>
              <w:t xml:space="preserve"> points</w:t>
            </w:r>
            <w:r>
              <w:rPr>
                <w:sz w:val="20"/>
                <w:szCs w:val="20"/>
              </w:rPr>
              <w:t>)</w:t>
            </w:r>
          </w:p>
        </w:tc>
        <w:tc>
          <w:tcPr>
            <w:tcW w:w="5076" w:type="dxa"/>
            <w:shd w:val="clear" w:color="auto" w:fill="C6D9F1" w:themeFill="text2" w:themeFillTint="33"/>
          </w:tcPr>
          <w:p w:rsidR="00AB391A" w:rsidRDefault="00D97140" w:rsidP="00072FBC">
            <w:pPr>
              <w:rPr>
                <w:sz w:val="20"/>
                <w:szCs w:val="20"/>
              </w:rPr>
            </w:pPr>
            <w:r>
              <w:rPr>
                <w:sz w:val="20"/>
                <w:szCs w:val="20"/>
              </w:rPr>
              <w:t>Utilization 90% or above – 7</w:t>
            </w:r>
            <w:r w:rsidR="00AB391A">
              <w:rPr>
                <w:sz w:val="20"/>
                <w:szCs w:val="20"/>
              </w:rPr>
              <w:t xml:space="preserve"> points</w:t>
            </w:r>
          </w:p>
          <w:p w:rsidR="00AB391A" w:rsidRPr="00F441D2" w:rsidRDefault="00D97140" w:rsidP="00072FBC">
            <w:pPr>
              <w:rPr>
                <w:sz w:val="20"/>
                <w:szCs w:val="20"/>
              </w:rPr>
            </w:pPr>
            <w:r>
              <w:rPr>
                <w:sz w:val="20"/>
                <w:szCs w:val="20"/>
              </w:rPr>
              <w:t>Utilization 85-90% - 4</w:t>
            </w:r>
            <w:r w:rsidR="00AB391A">
              <w:rPr>
                <w:sz w:val="20"/>
                <w:szCs w:val="20"/>
              </w:rPr>
              <w:t xml:space="preserve"> points</w:t>
            </w:r>
          </w:p>
        </w:tc>
      </w:tr>
      <w:tr w:rsidR="00D61A80" w:rsidRPr="00F441D2" w:rsidTr="00072FBC">
        <w:tc>
          <w:tcPr>
            <w:tcW w:w="1872" w:type="dxa"/>
            <w:vMerge/>
            <w:shd w:val="clear" w:color="auto" w:fill="C6D9F1" w:themeFill="text2" w:themeFillTint="33"/>
          </w:tcPr>
          <w:p w:rsidR="00AB391A" w:rsidRPr="00F441D2" w:rsidRDefault="00AB391A" w:rsidP="00072FBC">
            <w:pPr>
              <w:spacing w:before="60" w:after="60"/>
              <w:rPr>
                <w:sz w:val="20"/>
                <w:szCs w:val="20"/>
              </w:rPr>
            </w:pPr>
          </w:p>
        </w:tc>
        <w:tc>
          <w:tcPr>
            <w:tcW w:w="3780" w:type="dxa"/>
            <w:shd w:val="clear" w:color="auto" w:fill="C6D9F1" w:themeFill="text2" w:themeFillTint="33"/>
          </w:tcPr>
          <w:p w:rsidR="00AB391A" w:rsidRPr="00F441D2" w:rsidRDefault="001F15F8" w:rsidP="00072FBC">
            <w:pPr>
              <w:spacing w:before="60" w:after="60"/>
              <w:rPr>
                <w:sz w:val="20"/>
                <w:szCs w:val="20"/>
              </w:rPr>
            </w:pPr>
            <w:r>
              <w:rPr>
                <w:sz w:val="20"/>
                <w:szCs w:val="20"/>
              </w:rPr>
              <w:t>Complete and fully compliant policies &amp; procedures</w:t>
            </w:r>
            <w:r w:rsidR="00BE4303">
              <w:rPr>
                <w:sz w:val="20"/>
                <w:szCs w:val="20"/>
              </w:rPr>
              <w:t xml:space="preserve"> (up to 6 points)</w:t>
            </w:r>
          </w:p>
        </w:tc>
        <w:tc>
          <w:tcPr>
            <w:tcW w:w="5076" w:type="dxa"/>
            <w:shd w:val="clear" w:color="auto" w:fill="C6D9F1" w:themeFill="text2" w:themeFillTint="33"/>
          </w:tcPr>
          <w:p w:rsidR="00AB391A" w:rsidRDefault="007A0306" w:rsidP="00072FBC">
            <w:pPr>
              <w:spacing w:before="60"/>
              <w:rPr>
                <w:sz w:val="20"/>
                <w:szCs w:val="20"/>
              </w:rPr>
            </w:pPr>
            <w:r>
              <w:rPr>
                <w:sz w:val="20"/>
                <w:szCs w:val="20"/>
              </w:rPr>
              <w:t>All policies &amp; procedures submitted timely – 2 points</w:t>
            </w:r>
          </w:p>
          <w:p w:rsidR="007A0306" w:rsidRPr="00F441D2" w:rsidRDefault="007A0306" w:rsidP="00072FBC">
            <w:pPr>
              <w:spacing w:after="60"/>
              <w:rPr>
                <w:sz w:val="20"/>
                <w:szCs w:val="20"/>
              </w:rPr>
            </w:pPr>
            <w:r>
              <w:rPr>
                <w:sz w:val="20"/>
                <w:szCs w:val="20"/>
              </w:rPr>
              <w:t>Policies &amp; procedures compliant with HUD rules – 4 points</w:t>
            </w:r>
          </w:p>
        </w:tc>
      </w:tr>
    </w:tbl>
    <w:tbl>
      <w:tblPr>
        <w:tblStyle w:val="TableGrid"/>
        <w:tblW w:w="10710" w:type="dxa"/>
        <w:tblInd w:w="108" w:type="dxa"/>
        <w:tblLayout w:type="fixed"/>
        <w:tblLook w:val="04A0" w:firstRow="1" w:lastRow="0" w:firstColumn="1" w:lastColumn="0" w:noHBand="0" w:noVBand="1"/>
      </w:tblPr>
      <w:tblGrid>
        <w:gridCol w:w="2126"/>
        <w:gridCol w:w="3150"/>
        <w:gridCol w:w="5434"/>
      </w:tblGrid>
      <w:tr w:rsidR="007A0306" w:rsidRPr="006137D7" w:rsidTr="00072FBC">
        <w:tc>
          <w:tcPr>
            <w:tcW w:w="10710" w:type="dxa"/>
            <w:gridSpan w:val="3"/>
            <w:shd w:val="clear" w:color="auto" w:fill="1F497D" w:themeFill="text2"/>
            <w:vAlign w:val="center"/>
          </w:tcPr>
          <w:p w:rsidR="007A0306" w:rsidRDefault="007A0306" w:rsidP="00AE05DB">
            <w:pPr>
              <w:spacing w:before="60" w:after="60"/>
              <w:jc w:val="center"/>
              <w:rPr>
                <w:b/>
                <w:color w:val="FFFFFF" w:themeColor="background1"/>
                <w:sz w:val="24"/>
                <w:szCs w:val="24"/>
              </w:rPr>
            </w:pPr>
            <w:r>
              <w:lastRenderedPageBreak/>
              <w:br w:type="page"/>
            </w:r>
            <w:r>
              <w:br w:type="page"/>
            </w:r>
            <w:r w:rsidR="00AE05DB">
              <w:rPr>
                <w:b/>
                <w:color w:val="FFFFFF" w:themeColor="background1"/>
                <w:sz w:val="24"/>
                <w:szCs w:val="24"/>
              </w:rPr>
              <w:t xml:space="preserve">SCORING FOR </w:t>
            </w:r>
            <w:r w:rsidRPr="006137D7">
              <w:rPr>
                <w:b/>
                <w:color w:val="FFFFFF" w:themeColor="background1"/>
                <w:sz w:val="24"/>
                <w:szCs w:val="24"/>
              </w:rPr>
              <w:t>NEW APPLICATIONS</w:t>
            </w:r>
            <w:r>
              <w:rPr>
                <w:b/>
                <w:color w:val="FFFFFF" w:themeColor="background1"/>
                <w:sz w:val="24"/>
                <w:szCs w:val="24"/>
              </w:rPr>
              <w:t xml:space="preserve"> FOR FY2013 COC PROGRAM COMPETITION </w:t>
            </w:r>
          </w:p>
          <w:p w:rsidR="007F6870" w:rsidRPr="006137D7" w:rsidRDefault="007F6870" w:rsidP="00AE05DB">
            <w:pPr>
              <w:spacing w:before="60" w:after="60"/>
              <w:jc w:val="center"/>
              <w:rPr>
                <w:b/>
                <w:sz w:val="24"/>
                <w:szCs w:val="24"/>
              </w:rPr>
            </w:pPr>
            <w:r w:rsidRPr="005179EC">
              <w:rPr>
                <w:color w:val="FFFFFF" w:themeColor="background1"/>
              </w:rPr>
              <w:t>Total points available: 100</w:t>
            </w:r>
          </w:p>
        </w:tc>
      </w:tr>
      <w:tr w:rsidR="007A0306" w:rsidRPr="00F441D2" w:rsidTr="00072FBC">
        <w:tc>
          <w:tcPr>
            <w:tcW w:w="2126" w:type="dxa"/>
            <w:vMerge w:val="restart"/>
            <w:shd w:val="clear" w:color="auto" w:fill="F2F2F2" w:themeFill="background1" w:themeFillShade="F2"/>
            <w:vAlign w:val="center"/>
          </w:tcPr>
          <w:p w:rsidR="007A0306" w:rsidRDefault="007A0306" w:rsidP="007545F8">
            <w:pPr>
              <w:spacing w:before="60"/>
              <w:rPr>
                <w:b/>
                <w:sz w:val="20"/>
                <w:szCs w:val="20"/>
              </w:rPr>
            </w:pPr>
            <w:r w:rsidRPr="006137D7">
              <w:rPr>
                <w:b/>
                <w:sz w:val="24"/>
                <w:szCs w:val="24"/>
              </w:rPr>
              <w:t>PROGRAM</w:t>
            </w:r>
            <w:r>
              <w:rPr>
                <w:b/>
                <w:sz w:val="20"/>
                <w:szCs w:val="20"/>
              </w:rPr>
              <w:t xml:space="preserve"> </w:t>
            </w:r>
          </w:p>
          <w:p w:rsidR="007A0306" w:rsidRPr="006137D7" w:rsidRDefault="007A0306" w:rsidP="007545F8">
            <w:pPr>
              <w:spacing w:before="60"/>
              <w:rPr>
                <w:sz w:val="20"/>
                <w:szCs w:val="20"/>
              </w:rPr>
            </w:pPr>
            <w:r>
              <w:rPr>
                <w:sz w:val="20"/>
                <w:szCs w:val="20"/>
              </w:rPr>
              <w:t>36</w:t>
            </w:r>
            <w:r w:rsidRPr="006137D7">
              <w:rPr>
                <w:sz w:val="20"/>
                <w:szCs w:val="20"/>
              </w:rPr>
              <w:t xml:space="preserve"> points</w:t>
            </w:r>
          </w:p>
          <w:p w:rsidR="007A0306" w:rsidRPr="004E7DB4" w:rsidRDefault="007A0306" w:rsidP="007545F8">
            <w:pPr>
              <w:spacing w:before="60"/>
              <w:rPr>
                <w:i/>
                <w:sz w:val="20"/>
                <w:szCs w:val="20"/>
              </w:rPr>
            </w:pPr>
            <w:r w:rsidRPr="004E7DB4">
              <w:rPr>
                <w:i/>
                <w:sz w:val="20"/>
                <w:szCs w:val="20"/>
              </w:rPr>
              <w:t xml:space="preserve">Source:   </w:t>
            </w:r>
          </w:p>
          <w:p w:rsidR="007A0306" w:rsidRPr="00F441D2" w:rsidRDefault="007A0306" w:rsidP="007545F8">
            <w:pPr>
              <w:spacing w:after="60"/>
              <w:rPr>
                <w:sz w:val="20"/>
                <w:szCs w:val="20"/>
              </w:rPr>
            </w:pPr>
            <w:r w:rsidRPr="00F441D2">
              <w:rPr>
                <w:sz w:val="20"/>
                <w:szCs w:val="20"/>
              </w:rPr>
              <w:t>Project Application</w:t>
            </w:r>
          </w:p>
          <w:p w:rsidR="007A0306" w:rsidRPr="00F441D2" w:rsidRDefault="007A0306" w:rsidP="007545F8">
            <w:pPr>
              <w:spacing w:before="60" w:after="60"/>
              <w:rPr>
                <w:sz w:val="20"/>
                <w:szCs w:val="20"/>
              </w:rPr>
            </w:pPr>
          </w:p>
        </w:tc>
        <w:tc>
          <w:tcPr>
            <w:tcW w:w="3150" w:type="dxa"/>
            <w:shd w:val="clear" w:color="auto" w:fill="F2F2F2" w:themeFill="background1" w:themeFillShade="F2"/>
          </w:tcPr>
          <w:p w:rsidR="007A0306" w:rsidRPr="00F441D2" w:rsidRDefault="007A0306" w:rsidP="007545F8">
            <w:pPr>
              <w:spacing w:before="60" w:after="60"/>
              <w:rPr>
                <w:sz w:val="20"/>
                <w:szCs w:val="20"/>
              </w:rPr>
            </w:pPr>
            <w:r w:rsidRPr="00F441D2">
              <w:rPr>
                <w:sz w:val="20"/>
                <w:szCs w:val="20"/>
              </w:rPr>
              <w:t xml:space="preserve">Program Type, Model, </w:t>
            </w:r>
            <w:r>
              <w:rPr>
                <w:sz w:val="20"/>
                <w:szCs w:val="20"/>
              </w:rPr>
              <w:t xml:space="preserve">and </w:t>
            </w:r>
            <w:r w:rsidRPr="00F441D2">
              <w:rPr>
                <w:sz w:val="20"/>
                <w:szCs w:val="20"/>
              </w:rPr>
              <w:t>Target</w:t>
            </w:r>
            <w:r>
              <w:rPr>
                <w:sz w:val="20"/>
                <w:szCs w:val="20"/>
              </w:rPr>
              <w:t xml:space="preserve"> (up to 16 points)</w:t>
            </w:r>
          </w:p>
        </w:tc>
        <w:tc>
          <w:tcPr>
            <w:tcW w:w="5434" w:type="dxa"/>
            <w:shd w:val="clear" w:color="auto" w:fill="F2F2F2" w:themeFill="background1" w:themeFillShade="F2"/>
          </w:tcPr>
          <w:p w:rsidR="007A0306" w:rsidRDefault="007A0306" w:rsidP="00E35DA4">
            <w:pPr>
              <w:spacing w:before="60"/>
              <w:rPr>
                <w:sz w:val="20"/>
                <w:szCs w:val="20"/>
              </w:rPr>
            </w:pPr>
            <w:r w:rsidRPr="00F441D2">
              <w:rPr>
                <w:sz w:val="20"/>
                <w:szCs w:val="20"/>
              </w:rPr>
              <w:t>P</w:t>
            </w:r>
            <w:r>
              <w:rPr>
                <w:sz w:val="20"/>
                <w:szCs w:val="20"/>
              </w:rPr>
              <w:t>S</w:t>
            </w:r>
            <w:r w:rsidRPr="00F441D2">
              <w:rPr>
                <w:sz w:val="20"/>
                <w:szCs w:val="20"/>
              </w:rPr>
              <w:t>H, Housing First</w:t>
            </w:r>
            <w:r>
              <w:rPr>
                <w:sz w:val="20"/>
                <w:szCs w:val="20"/>
              </w:rPr>
              <w:t xml:space="preserve"> &amp; 100% chronic – 16</w:t>
            </w:r>
            <w:r w:rsidRPr="00F441D2">
              <w:rPr>
                <w:sz w:val="20"/>
                <w:szCs w:val="20"/>
              </w:rPr>
              <w:t xml:space="preserve"> points</w:t>
            </w:r>
          </w:p>
          <w:p w:rsidR="007A0306" w:rsidRDefault="007A0306" w:rsidP="00E35DA4">
            <w:pPr>
              <w:rPr>
                <w:sz w:val="20"/>
                <w:szCs w:val="20"/>
              </w:rPr>
            </w:pPr>
            <w:r>
              <w:rPr>
                <w:sz w:val="20"/>
                <w:szCs w:val="20"/>
              </w:rPr>
              <w:t>RRH for families – 16 points</w:t>
            </w:r>
          </w:p>
          <w:p w:rsidR="007A0306" w:rsidRPr="00F441D2" w:rsidRDefault="007A0306" w:rsidP="00E35DA4">
            <w:pPr>
              <w:spacing w:after="60"/>
              <w:rPr>
                <w:sz w:val="20"/>
                <w:szCs w:val="20"/>
              </w:rPr>
            </w:pPr>
            <w:r w:rsidRPr="00F441D2">
              <w:rPr>
                <w:sz w:val="20"/>
                <w:szCs w:val="20"/>
              </w:rPr>
              <w:t>P</w:t>
            </w:r>
            <w:r>
              <w:rPr>
                <w:sz w:val="20"/>
                <w:szCs w:val="20"/>
              </w:rPr>
              <w:t>S</w:t>
            </w:r>
            <w:r w:rsidRPr="00F441D2">
              <w:rPr>
                <w:sz w:val="20"/>
                <w:szCs w:val="20"/>
              </w:rPr>
              <w:t xml:space="preserve">H, </w:t>
            </w:r>
            <w:r>
              <w:rPr>
                <w:sz w:val="20"/>
                <w:szCs w:val="20"/>
              </w:rPr>
              <w:t>100% chronic but not Housing First – 8 points</w:t>
            </w:r>
          </w:p>
        </w:tc>
      </w:tr>
      <w:tr w:rsidR="007A0306" w:rsidTr="00072FBC">
        <w:tc>
          <w:tcPr>
            <w:tcW w:w="2126" w:type="dxa"/>
            <w:vMerge/>
            <w:shd w:val="clear" w:color="auto" w:fill="F2F2F2" w:themeFill="background1" w:themeFillShade="F2"/>
          </w:tcPr>
          <w:p w:rsidR="007A0306" w:rsidRPr="00F441D2" w:rsidRDefault="007A0306" w:rsidP="007545F8">
            <w:pPr>
              <w:spacing w:before="60" w:after="60"/>
              <w:rPr>
                <w:sz w:val="20"/>
                <w:szCs w:val="20"/>
              </w:rPr>
            </w:pPr>
          </w:p>
        </w:tc>
        <w:tc>
          <w:tcPr>
            <w:tcW w:w="3150" w:type="dxa"/>
            <w:shd w:val="clear" w:color="auto" w:fill="F2F2F2" w:themeFill="background1" w:themeFillShade="F2"/>
          </w:tcPr>
          <w:p w:rsidR="007A0306" w:rsidRDefault="007A0306" w:rsidP="007545F8">
            <w:pPr>
              <w:spacing w:before="60" w:after="60"/>
              <w:rPr>
                <w:sz w:val="20"/>
                <w:szCs w:val="20"/>
              </w:rPr>
            </w:pPr>
            <w:r>
              <w:rPr>
                <w:sz w:val="20"/>
                <w:szCs w:val="20"/>
              </w:rPr>
              <w:t>Contributes to geographic diversity of services (up to 5 points)</w:t>
            </w:r>
          </w:p>
        </w:tc>
        <w:tc>
          <w:tcPr>
            <w:tcW w:w="5434" w:type="dxa"/>
            <w:shd w:val="clear" w:color="auto" w:fill="F2F2F2" w:themeFill="background1" w:themeFillShade="F2"/>
          </w:tcPr>
          <w:p w:rsidR="007A0306" w:rsidRDefault="007A0306" w:rsidP="007545F8">
            <w:pPr>
              <w:spacing w:before="60"/>
              <w:rPr>
                <w:sz w:val="20"/>
                <w:szCs w:val="20"/>
              </w:rPr>
            </w:pPr>
            <w:r>
              <w:rPr>
                <w:sz w:val="20"/>
                <w:szCs w:val="20"/>
              </w:rPr>
              <w:t>Largely underserved</w:t>
            </w:r>
            <w:r w:rsidR="00120C23">
              <w:rPr>
                <w:sz w:val="20"/>
                <w:szCs w:val="20"/>
              </w:rPr>
              <w:t xml:space="preserve"> geographic </w:t>
            </w:r>
            <w:r>
              <w:rPr>
                <w:sz w:val="20"/>
                <w:szCs w:val="20"/>
              </w:rPr>
              <w:t>location –5points</w:t>
            </w:r>
          </w:p>
          <w:p w:rsidR="007A0306" w:rsidRDefault="007A0306" w:rsidP="007545F8">
            <w:pPr>
              <w:spacing w:after="60"/>
              <w:rPr>
                <w:sz w:val="20"/>
                <w:szCs w:val="20"/>
              </w:rPr>
            </w:pPr>
            <w:r>
              <w:rPr>
                <w:sz w:val="20"/>
                <w:szCs w:val="20"/>
              </w:rPr>
              <w:t xml:space="preserve">Moderately underserved </w:t>
            </w:r>
            <w:r w:rsidR="00120C23">
              <w:rPr>
                <w:sz w:val="20"/>
                <w:szCs w:val="20"/>
              </w:rPr>
              <w:t xml:space="preserve">geographic </w:t>
            </w:r>
            <w:r>
              <w:rPr>
                <w:sz w:val="20"/>
                <w:szCs w:val="20"/>
              </w:rPr>
              <w:t>location – 3 points</w:t>
            </w:r>
          </w:p>
        </w:tc>
      </w:tr>
      <w:tr w:rsidR="007A0306" w:rsidRPr="00F441D2" w:rsidTr="00072FBC">
        <w:tc>
          <w:tcPr>
            <w:tcW w:w="2126" w:type="dxa"/>
            <w:vMerge/>
            <w:shd w:val="clear" w:color="auto" w:fill="F2F2F2" w:themeFill="background1" w:themeFillShade="F2"/>
          </w:tcPr>
          <w:p w:rsidR="007A0306" w:rsidRPr="00F441D2" w:rsidRDefault="007A0306" w:rsidP="007545F8">
            <w:pPr>
              <w:spacing w:before="60" w:after="60"/>
              <w:rPr>
                <w:sz w:val="20"/>
                <w:szCs w:val="20"/>
              </w:rPr>
            </w:pPr>
          </w:p>
        </w:tc>
        <w:tc>
          <w:tcPr>
            <w:tcW w:w="3150" w:type="dxa"/>
            <w:shd w:val="clear" w:color="auto" w:fill="F2F2F2" w:themeFill="background1" w:themeFillShade="F2"/>
          </w:tcPr>
          <w:p w:rsidR="007A0306" w:rsidRPr="00F441D2" w:rsidRDefault="007A0306" w:rsidP="00AE05DB">
            <w:pPr>
              <w:spacing w:before="60" w:after="60"/>
              <w:rPr>
                <w:sz w:val="20"/>
                <w:szCs w:val="20"/>
              </w:rPr>
            </w:pPr>
            <w:r>
              <w:rPr>
                <w:sz w:val="20"/>
                <w:szCs w:val="20"/>
              </w:rPr>
              <w:t xml:space="preserve">Serves harder-to-serve population (up to </w:t>
            </w:r>
            <w:r w:rsidR="00AE05DB">
              <w:rPr>
                <w:sz w:val="20"/>
                <w:szCs w:val="20"/>
              </w:rPr>
              <w:t>6</w:t>
            </w:r>
            <w:r>
              <w:rPr>
                <w:sz w:val="20"/>
                <w:szCs w:val="20"/>
              </w:rPr>
              <w:t xml:space="preserve"> points)</w:t>
            </w:r>
          </w:p>
        </w:tc>
        <w:tc>
          <w:tcPr>
            <w:tcW w:w="5434" w:type="dxa"/>
            <w:shd w:val="clear" w:color="auto" w:fill="F2F2F2" w:themeFill="background1" w:themeFillShade="F2"/>
          </w:tcPr>
          <w:p w:rsidR="007A0306" w:rsidRDefault="007A0306" w:rsidP="007545F8">
            <w:pPr>
              <w:spacing w:before="60"/>
              <w:rPr>
                <w:sz w:val="20"/>
                <w:szCs w:val="20"/>
              </w:rPr>
            </w:pPr>
            <w:r>
              <w:rPr>
                <w:sz w:val="20"/>
                <w:szCs w:val="20"/>
              </w:rPr>
              <w:t>Will serve only literally homeless at entry –</w:t>
            </w:r>
            <w:r w:rsidR="00AE05DB">
              <w:rPr>
                <w:sz w:val="20"/>
                <w:szCs w:val="20"/>
              </w:rPr>
              <w:t>3</w:t>
            </w:r>
            <w:r>
              <w:rPr>
                <w:sz w:val="20"/>
                <w:szCs w:val="20"/>
              </w:rPr>
              <w:t>points</w:t>
            </w:r>
          </w:p>
          <w:p w:rsidR="007A0306" w:rsidRPr="00F441D2" w:rsidRDefault="007A0306" w:rsidP="00EC7EF0">
            <w:pPr>
              <w:spacing w:after="60"/>
              <w:rPr>
                <w:sz w:val="20"/>
                <w:szCs w:val="20"/>
              </w:rPr>
            </w:pPr>
            <w:r>
              <w:rPr>
                <w:sz w:val="20"/>
                <w:szCs w:val="20"/>
              </w:rPr>
              <w:t xml:space="preserve">Plan to serve </w:t>
            </w:r>
            <w:r w:rsidR="00EC7EF0">
              <w:rPr>
                <w:sz w:val="20"/>
                <w:szCs w:val="20"/>
              </w:rPr>
              <w:t>50</w:t>
            </w:r>
            <w:r>
              <w:rPr>
                <w:sz w:val="20"/>
                <w:szCs w:val="20"/>
              </w:rPr>
              <w:t xml:space="preserve">% of participants who have 2 or more </w:t>
            </w:r>
            <w:r w:rsidR="00EC7EF0">
              <w:rPr>
                <w:sz w:val="20"/>
                <w:szCs w:val="20"/>
              </w:rPr>
              <w:t>health-related housing barriers</w:t>
            </w:r>
            <w:r>
              <w:rPr>
                <w:sz w:val="20"/>
                <w:szCs w:val="20"/>
              </w:rPr>
              <w:t xml:space="preserve"> at program entry –</w:t>
            </w:r>
            <w:r w:rsidR="00AE05DB">
              <w:rPr>
                <w:sz w:val="20"/>
                <w:szCs w:val="20"/>
              </w:rPr>
              <w:t xml:space="preserve"> 3</w:t>
            </w:r>
            <w:r>
              <w:rPr>
                <w:sz w:val="20"/>
                <w:szCs w:val="20"/>
              </w:rPr>
              <w:t xml:space="preserve"> points</w:t>
            </w:r>
          </w:p>
        </w:tc>
      </w:tr>
      <w:tr w:rsidR="007A0306" w:rsidTr="00072FBC">
        <w:trPr>
          <w:trHeight w:val="692"/>
        </w:trPr>
        <w:tc>
          <w:tcPr>
            <w:tcW w:w="2126" w:type="dxa"/>
            <w:vMerge/>
            <w:shd w:val="clear" w:color="auto" w:fill="F2F2F2" w:themeFill="background1" w:themeFillShade="F2"/>
          </w:tcPr>
          <w:p w:rsidR="007A0306" w:rsidRPr="00F441D2" w:rsidRDefault="007A0306" w:rsidP="007545F8">
            <w:pPr>
              <w:spacing w:before="60" w:after="60"/>
              <w:rPr>
                <w:sz w:val="20"/>
                <w:szCs w:val="20"/>
              </w:rPr>
            </w:pPr>
          </w:p>
        </w:tc>
        <w:tc>
          <w:tcPr>
            <w:tcW w:w="3150" w:type="dxa"/>
            <w:shd w:val="clear" w:color="auto" w:fill="F2F2F2" w:themeFill="background1" w:themeFillShade="F2"/>
          </w:tcPr>
          <w:p w:rsidR="007A0306" w:rsidRDefault="007A0306" w:rsidP="007545F8">
            <w:pPr>
              <w:spacing w:before="60" w:after="60"/>
              <w:rPr>
                <w:sz w:val="20"/>
                <w:szCs w:val="20"/>
              </w:rPr>
            </w:pPr>
            <w:r>
              <w:rPr>
                <w:sz w:val="20"/>
                <w:szCs w:val="20"/>
              </w:rPr>
              <w:t>Use of evidence-based practices (up to 5 points)</w:t>
            </w:r>
          </w:p>
        </w:tc>
        <w:tc>
          <w:tcPr>
            <w:tcW w:w="5434" w:type="dxa"/>
            <w:shd w:val="clear" w:color="auto" w:fill="F2F2F2" w:themeFill="background1" w:themeFillShade="F2"/>
          </w:tcPr>
          <w:p w:rsidR="007A0306" w:rsidRDefault="007A0306" w:rsidP="007545F8">
            <w:pPr>
              <w:spacing w:before="60" w:after="60"/>
              <w:rPr>
                <w:sz w:val="20"/>
                <w:szCs w:val="20"/>
              </w:rPr>
            </w:pPr>
            <w:r>
              <w:rPr>
                <w:sz w:val="20"/>
                <w:szCs w:val="20"/>
              </w:rPr>
              <w:t>Program uses or commits to use of one or more evidence-based practices –5 points</w:t>
            </w:r>
          </w:p>
        </w:tc>
      </w:tr>
      <w:tr w:rsidR="007A0306" w:rsidRPr="00F441D2" w:rsidTr="00072FBC">
        <w:trPr>
          <w:trHeight w:val="692"/>
        </w:trPr>
        <w:tc>
          <w:tcPr>
            <w:tcW w:w="2126" w:type="dxa"/>
            <w:vMerge/>
            <w:shd w:val="clear" w:color="auto" w:fill="F2F2F2" w:themeFill="background1" w:themeFillShade="F2"/>
          </w:tcPr>
          <w:p w:rsidR="007A0306" w:rsidRPr="00F441D2" w:rsidRDefault="007A0306" w:rsidP="007545F8">
            <w:pPr>
              <w:spacing w:before="60" w:after="60"/>
              <w:rPr>
                <w:sz w:val="20"/>
                <w:szCs w:val="20"/>
              </w:rPr>
            </w:pPr>
          </w:p>
        </w:tc>
        <w:tc>
          <w:tcPr>
            <w:tcW w:w="3150" w:type="dxa"/>
            <w:shd w:val="clear" w:color="auto" w:fill="F2F2F2" w:themeFill="background1" w:themeFillShade="F2"/>
          </w:tcPr>
          <w:p w:rsidR="007A0306" w:rsidRDefault="007A0306" w:rsidP="007545F8">
            <w:pPr>
              <w:spacing w:before="60" w:after="60"/>
              <w:rPr>
                <w:sz w:val="20"/>
                <w:szCs w:val="20"/>
              </w:rPr>
            </w:pPr>
            <w:r>
              <w:rPr>
                <w:sz w:val="20"/>
                <w:szCs w:val="20"/>
              </w:rPr>
              <w:t>Housing emphasis (</w:t>
            </w:r>
            <w:r w:rsidR="00AE05DB">
              <w:rPr>
                <w:sz w:val="20"/>
                <w:szCs w:val="20"/>
              </w:rPr>
              <w:t>1</w:t>
            </w:r>
            <w:r>
              <w:rPr>
                <w:sz w:val="20"/>
                <w:szCs w:val="20"/>
              </w:rPr>
              <w:t xml:space="preserve"> point)</w:t>
            </w:r>
          </w:p>
          <w:p w:rsidR="007A0306" w:rsidRPr="00AB391A" w:rsidRDefault="007A0306" w:rsidP="007545F8">
            <w:pPr>
              <w:rPr>
                <w:sz w:val="20"/>
                <w:szCs w:val="20"/>
              </w:rPr>
            </w:pPr>
          </w:p>
        </w:tc>
        <w:tc>
          <w:tcPr>
            <w:tcW w:w="5434" w:type="dxa"/>
            <w:shd w:val="clear" w:color="auto" w:fill="F2F2F2" w:themeFill="background1" w:themeFillShade="F2"/>
          </w:tcPr>
          <w:p w:rsidR="007A0306" w:rsidRPr="00F441D2" w:rsidRDefault="007A0306" w:rsidP="007545F8">
            <w:pPr>
              <w:spacing w:before="60" w:after="60"/>
              <w:rPr>
                <w:sz w:val="20"/>
                <w:szCs w:val="20"/>
              </w:rPr>
            </w:pPr>
            <w:r>
              <w:rPr>
                <w:sz w:val="20"/>
                <w:szCs w:val="20"/>
              </w:rPr>
              <w:t>70% or more of CoC funding budget is for housing costs (leasing, rental assistance and building operations) –</w:t>
            </w:r>
            <w:r w:rsidR="00AE05DB">
              <w:rPr>
                <w:sz w:val="20"/>
                <w:szCs w:val="20"/>
              </w:rPr>
              <w:t xml:space="preserve"> 1</w:t>
            </w:r>
            <w:r>
              <w:rPr>
                <w:sz w:val="20"/>
                <w:szCs w:val="20"/>
              </w:rPr>
              <w:t xml:space="preserve"> </w:t>
            </w:r>
            <w:r w:rsidR="00AE05DB">
              <w:rPr>
                <w:sz w:val="20"/>
                <w:szCs w:val="20"/>
              </w:rPr>
              <w:t>point</w:t>
            </w:r>
          </w:p>
        </w:tc>
      </w:tr>
      <w:tr w:rsidR="007A0306" w:rsidTr="00072FBC">
        <w:tc>
          <w:tcPr>
            <w:tcW w:w="2126" w:type="dxa"/>
            <w:vMerge/>
            <w:shd w:val="clear" w:color="auto" w:fill="F2F2F2" w:themeFill="background1" w:themeFillShade="F2"/>
          </w:tcPr>
          <w:p w:rsidR="007A0306" w:rsidRPr="00F441D2" w:rsidRDefault="007A0306" w:rsidP="007545F8">
            <w:pPr>
              <w:spacing w:before="60" w:after="60"/>
              <w:rPr>
                <w:sz w:val="20"/>
                <w:szCs w:val="20"/>
              </w:rPr>
            </w:pPr>
          </w:p>
        </w:tc>
        <w:tc>
          <w:tcPr>
            <w:tcW w:w="3150" w:type="dxa"/>
            <w:shd w:val="clear" w:color="auto" w:fill="F2F2F2" w:themeFill="background1" w:themeFillShade="F2"/>
          </w:tcPr>
          <w:p w:rsidR="007A0306" w:rsidRDefault="007A0306" w:rsidP="00AE05DB">
            <w:pPr>
              <w:spacing w:before="60" w:after="60"/>
              <w:rPr>
                <w:sz w:val="20"/>
                <w:szCs w:val="20"/>
              </w:rPr>
            </w:pPr>
            <w:r>
              <w:rPr>
                <w:sz w:val="20"/>
                <w:szCs w:val="20"/>
              </w:rPr>
              <w:t>Site Type: scattered</w:t>
            </w:r>
            <w:r w:rsidR="00AE05DB">
              <w:rPr>
                <w:sz w:val="20"/>
                <w:szCs w:val="20"/>
              </w:rPr>
              <w:t xml:space="preserve"> (3 points)</w:t>
            </w:r>
          </w:p>
        </w:tc>
        <w:tc>
          <w:tcPr>
            <w:tcW w:w="5434" w:type="dxa"/>
            <w:shd w:val="clear" w:color="auto" w:fill="F2F2F2" w:themeFill="background1" w:themeFillShade="F2"/>
          </w:tcPr>
          <w:p w:rsidR="007A0306" w:rsidRDefault="001241CC" w:rsidP="001241CC">
            <w:pPr>
              <w:spacing w:before="60"/>
              <w:rPr>
                <w:sz w:val="20"/>
                <w:szCs w:val="20"/>
              </w:rPr>
            </w:pPr>
            <w:r>
              <w:rPr>
                <w:sz w:val="20"/>
                <w:szCs w:val="20"/>
              </w:rPr>
              <w:t>Program uses a s</w:t>
            </w:r>
            <w:r w:rsidR="007A0306">
              <w:rPr>
                <w:sz w:val="20"/>
                <w:szCs w:val="20"/>
              </w:rPr>
              <w:t xml:space="preserve">cattered site </w:t>
            </w:r>
            <w:r>
              <w:rPr>
                <w:sz w:val="20"/>
                <w:szCs w:val="20"/>
              </w:rPr>
              <w:t xml:space="preserve">model </w:t>
            </w:r>
            <w:r w:rsidR="007A0306">
              <w:rPr>
                <w:sz w:val="20"/>
                <w:szCs w:val="20"/>
              </w:rPr>
              <w:t xml:space="preserve"> – </w:t>
            </w:r>
            <w:r w:rsidR="00AE05DB">
              <w:rPr>
                <w:sz w:val="20"/>
                <w:szCs w:val="20"/>
              </w:rPr>
              <w:t>3</w:t>
            </w:r>
            <w:r w:rsidR="007A0306">
              <w:rPr>
                <w:sz w:val="20"/>
                <w:szCs w:val="20"/>
              </w:rPr>
              <w:t xml:space="preserve"> points</w:t>
            </w:r>
          </w:p>
        </w:tc>
      </w:tr>
      <w:tr w:rsidR="007A0306" w:rsidRPr="00F441D2" w:rsidTr="007545F8">
        <w:trPr>
          <w:cantSplit/>
          <w:trHeight w:val="1025"/>
        </w:trPr>
        <w:tc>
          <w:tcPr>
            <w:tcW w:w="2126" w:type="dxa"/>
            <w:vMerge w:val="restart"/>
            <w:tcBorders>
              <w:bottom w:val="single" w:sz="4" w:space="0" w:color="auto"/>
            </w:tcBorders>
            <w:shd w:val="clear" w:color="auto" w:fill="C6D9F1" w:themeFill="text2" w:themeFillTint="33"/>
            <w:vAlign w:val="center"/>
          </w:tcPr>
          <w:p w:rsidR="007A0306" w:rsidRPr="006137D7" w:rsidRDefault="00E35DA4" w:rsidP="007545F8">
            <w:pPr>
              <w:spacing w:before="60"/>
              <w:rPr>
                <w:b/>
                <w:sz w:val="24"/>
                <w:szCs w:val="24"/>
              </w:rPr>
            </w:pPr>
            <w:r>
              <w:rPr>
                <w:b/>
                <w:sz w:val="24"/>
                <w:szCs w:val="24"/>
              </w:rPr>
              <w:t xml:space="preserve">AGENCY </w:t>
            </w:r>
            <w:r w:rsidR="00E11F68">
              <w:rPr>
                <w:b/>
                <w:sz w:val="24"/>
                <w:szCs w:val="24"/>
              </w:rPr>
              <w:t>EX</w:t>
            </w:r>
            <w:r w:rsidR="007A0306">
              <w:rPr>
                <w:b/>
                <w:sz w:val="24"/>
                <w:szCs w:val="24"/>
              </w:rPr>
              <w:t xml:space="preserve">PERIENCE and </w:t>
            </w:r>
            <w:r>
              <w:rPr>
                <w:b/>
                <w:sz w:val="24"/>
                <w:szCs w:val="24"/>
              </w:rPr>
              <w:t>HISTORY OF PARTCIPATION &amp; COLLABORATION</w:t>
            </w:r>
          </w:p>
          <w:p w:rsidR="007A0306" w:rsidRPr="006137D7" w:rsidRDefault="007A0306" w:rsidP="007545F8">
            <w:pPr>
              <w:spacing w:after="60"/>
              <w:rPr>
                <w:sz w:val="20"/>
                <w:szCs w:val="20"/>
              </w:rPr>
            </w:pPr>
            <w:r w:rsidRPr="006137D7">
              <w:rPr>
                <w:sz w:val="20"/>
                <w:szCs w:val="20"/>
              </w:rPr>
              <w:t>2</w:t>
            </w:r>
            <w:r>
              <w:rPr>
                <w:sz w:val="20"/>
                <w:szCs w:val="20"/>
              </w:rPr>
              <w:t>4</w:t>
            </w:r>
            <w:r w:rsidRPr="006137D7">
              <w:rPr>
                <w:sz w:val="20"/>
                <w:szCs w:val="20"/>
              </w:rPr>
              <w:t xml:space="preserve"> points</w:t>
            </w:r>
          </w:p>
          <w:p w:rsidR="007A0306" w:rsidRPr="00F441D2" w:rsidRDefault="007A0306" w:rsidP="007545F8">
            <w:pPr>
              <w:spacing w:before="60" w:after="60"/>
              <w:rPr>
                <w:sz w:val="20"/>
                <w:szCs w:val="20"/>
              </w:rPr>
            </w:pPr>
            <w:r w:rsidRPr="00F441D2">
              <w:rPr>
                <w:sz w:val="20"/>
                <w:szCs w:val="20"/>
              </w:rPr>
              <w:t xml:space="preserve">     </w:t>
            </w:r>
          </w:p>
          <w:p w:rsidR="00D27C88" w:rsidRDefault="007A0306" w:rsidP="007545F8">
            <w:pPr>
              <w:spacing w:before="60"/>
              <w:rPr>
                <w:i/>
                <w:sz w:val="20"/>
                <w:szCs w:val="20"/>
              </w:rPr>
            </w:pPr>
            <w:r w:rsidRPr="004E7DB4">
              <w:rPr>
                <w:i/>
                <w:sz w:val="20"/>
                <w:szCs w:val="20"/>
              </w:rPr>
              <w:t>Source:</w:t>
            </w:r>
          </w:p>
          <w:p w:rsidR="007A0306" w:rsidRPr="004E7DB4" w:rsidRDefault="00D27C88" w:rsidP="007545F8">
            <w:pPr>
              <w:spacing w:before="60"/>
              <w:rPr>
                <w:i/>
                <w:sz w:val="20"/>
                <w:szCs w:val="20"/>
              </w:rPr>
            </w:pPr>
            <w:r>
              <w:rPr>
                <w:sz w:val="20"/>
                <w:szCs w:val="20"/>
              </w:rPr>
              <w:t>Application</w:t>
            </w:r>
            <w:r w:rsidR="007A0306" w:rsidRPr="004E7DB4">
              <w:rPr>
                <w:i/>
                <w:sz w:val="20"/>
                <w:szCs w:val="20"/>
              </w:rPr>
              <w:t xml:space="preserve">  </w:t>
            </w:r>
          </w:p>
          <w:p w:rsidR="007A0306" w:rsidRPr="00F441D2" w:rsidRDefault="007A0306" w:rsidP="007545F8">
            <w:pPr>
              <w:spacing w:before="60" w:after="60"/>
              <w:rPr>
                <w:sz w:val="20"/>
                <w:szCs w:val="20"/>
              </w:rPr>
            </w:pPr>
          </w:p>
        </w:tc>
        <w:tc>
          <w:tcPr>
            <w:tcW w:w="3150" w:type="dxa"/>
            <w:tcBorders>
              <w:bottom w:val="single" w:sz="4" w:space="0" w:color="auto"/>
            </w:tcBorders>
            <w:shd w:val="clear" w:color="auto" w:fill="C6D9F1" w:themeFill="text2" w:themeFillTint="33"/>
          </w:tcPr>
          <w:p w:rsidR="007A0306" w:rsidRPr="00F441D2" w:rsidRDefault="00E66FB6" w:rsidP="007545F8">
            <w:pPr>
              <w:spacing w:after="60"/>
              <w:rPr>
                <w:sz w:val="20"/>
                <w:szCs w:val="20"/>
              </w:rPr>
            </w:pPr>
            <w:r>
              <w:rPr>
                <w:sz w:val="20"/>
                <w:szCs w:val="20"/>
              </w:rPr>
              <w:t>Agency experience in performing the proposed activities and in utilizing federal funds</w:t>
            </w:r>
            <w:r w:rsidR="007545F8">
              <w:rPr>
                <w:sz w:val="20"/>
                <w:szCs w:val="20"/>
              </w:rPr>
              <w:t xml:space="preserve"> (up to 6 points)</w:t>
            </w:r>
          </w:p>
        </w:tc>
        <w:tc>
          <w:tcPr>
            <w:tcW w:w="5434" w:type="dxa"/>
            <w:tcBorders>
              <w:bottom w:val="single" w:sz="4" w:space="0" w:color="auto"/>
            </w:tcBorders>
            <w:shd w:val="clear" w:color="auto" w:fill="C6D9F1" w:themeFill="text2" w:themeFillTint="33"/>
            <w:vAlign w:val="center"/>
          </w:tcPr>
          <w:p w:rsidR="007A0306" w:rsidRDefault="007545F8" w:rsidP="007A0306">
            <w:pPr>
              <w:spacing w:before="60" w:after="60"/>
              <w:rPr>
                <w:sz w:val="20"/>
                <w:szCs w:val="20"/>
              </w:rPr>
            </w:pPr>
            <w:r>
              <w:rPr>
                <w:sz w:val="20"/>
                <w:szCs w:val="20"/>
              </w:rPr>
              <w:t>Extensive experience serving population or performing the proposed activities – 6 points</w:t>
            </w:r>
          </w:p>
          <w:p w:rsidR="007A0306" w:rsidRPr="00F441D2" w:rsidRDefault="007545F8" w:rsidP="007545F8">
            <w:pPr>
              <w:spacing w:before="60" w:after="60"/>
              <w:rPr>
                <w:sz w:val="20"/>
                <w:szCs w:val="20"/>
              </w:rPr>
            </w:pPr>
            <w:r>
              <w:rPr>
                <w:sz w:val="20"/>
                <w:szCs w:val="20"/>
              </w:rPr>
              <w:t>Some experience serving population or performing the proposed activities – 3 points</w:t>
            </w:r>
          </w:p>
        </w:tc>
      </w:tr>
      <w:tr w:rsidR="007A0306" w:rsidRPr="00F441D2" w:rsidTr="00072FBC">
        <w:trPr>
          <w:trHeight w:val="962"/>
        </w:trPr>
        <w:tc>
          <w:tcPr>
            <w:tcW w:w="2126" w:type="dxa"/>
            <w:vMerge/>
            <w:shd w:val="clear" w:color="auto" w:fill="C6D9F1" w:themeFill="text2" w:themeFillTint="33"/>
          </w:tcPr>
          <w:p w:rsidR="007A0306" w:rsidRPr="00F441D2" w:rsidRDefault="007A0306" w:rsidP="007545F8">
            <w:pPr>
              <w:spacing w:before="60" w:after="60"/>
              <w:rPr>
                <w:sz w:val="20"/>
                <w:szCs w:val="20"/>
              </w:rPr>
            </w:pPr>
          </w:p>
        </w:tc>
        <w:tc>
          <w:tcPr>
            <w:tcW w:w="3150" w:type="dxa"/>
            <w:shd w:val="clear" w:color="auto" w:fill="C6D9F1" w:themeFill="text2" w:themeFillTint="33"/>
          </w:tcPr>
          <w:p w:rsidR="007A0306" w:rsidRPr="00E66FB6" w:rsidRDefault="00E66FB6" w:rsidP="007545F8">
            <w:pPr>
              <w:spacing w:after="60"/>
              <w:rPr>
                <w:rFonts w:cstheme="minorHAnsi"/>
                <w:sz w:val="20"/>
                <w:szCs w:val="20"/>
              </w:rPr>
            </w:pPr>
            <w:r w:rsidRPr="00E66FB6">
              <w:rPr>
                <w:rFonts w:cstheme="minorHAnsi"/>
                <w:bCs/>
                <w:color w:val="000000"/>
                <w:sz w:val="20"/>
                <w:szCs w:val="20"/>
              </w:rPr>
              <w:t xml:space="preserve">Applicant’s organization and </w:t>
            </w:r>
            <w:r>
              <w:rPr>
                <w:rFonts w:cstheme="minorHAnsi"/>
                <w:bCs/>
                <w:color w:val="000000"/>
                <w:sz w:val="20"/>
                <w:szCs w:val="20"/>
              </w:rPr>
              <w:t>m</w:t>
            </w:r>
            <w:r w:rsidRPr="00E66FB6">
              <w:rPr>
                <w:rFonts w:cstheme="minorHAnsi"/>
                <w:bCs/>
                <w:color w:val="000000"/>
                <w:sz w:val="20"/>
                <w:szCs w:val="20"/>
              </w:rPr>
              <w:t xml:space="preserve">anagement structure </w:t>
            </w:r>
            <w:r>
              <w:rPr>
                <w:rFonts w:cstheme="minorHAnsi"/>
                <w:bCs/>
                <w:color w:val="000000"/>
                <w:sz w:val="20"/>
                <w:szCs w:val="20"/>
              </w:rPr>
              <w:t>d</w:t>
            </w:r>
            <w:r w:rsidRPr="00E66FB6">
              <w:rPr>
                <w:rFonts w:cstheme="minorHAnsi"/>
                <w:bCs/>
                <w:color w:val="000000"/>
                <w:sz w:val="20"/>
                <w:szCs w:val="20"/>
              </w:rPr>
              <w:t>emonstrates internal coordination and an adequ</w:t>
            </w:r>
            <w:r>
              <w:rPr>
                <w:rFonts w:cstheme="minorHAnsi"/>
                <w:bCs/>
                <w:color w:val="000000"/>
                <w:sz w:val="20"/>
                <w:szCs w:val="20"/>
              </w:rPr>
              <w:t>ate financial accounting system</w:t>
            </w:r>
            <w:r w:rsidR="007545F8">
              <w:rPr>
                <w:rFonts w:cstheme="minorHAnsi"/>
                <w:bCs/>
                <w:color w:val="000000"/>
                <w:sz w:val="20"/>
                <w:szCs w:val="20"/>
              </w:rPr>
              <w:t xml:space="preserve"> (up to 6 points)</w:t>
            </w:r>
          </w:p>
        </w:tc>
        <w:tc>
          <w:tcPr>
            <w:tcW w:w="5434" w:type="dxa"/>
            <w:shd w:val="clear" w:color="auto" w:fill="C6D9F1" w:themeFill="text2" w:themeFillTint="33"/>
          </w:tcPr>
          <w:p w:rsidR="007A0306" w:rsidRDefault="007545F8" w:rsidP="007545F8">
            <w:pPr>
              <w:spacing w:before="60" w:after="60"/>
              <w:rPr>
                <w:sz w:val="20"/>
                <w:szCs w:val="20"/>
              </w:rPr>
            </w:pPr>
            <w:r>
              <w:rPr>
                <w:sz w:val="20"/>
                <w:szCs w:val="20"/>
              </w:rPr>
              <w:t>Description shows strong coordination &amp; financial accounting – 6 points</w:t>
            </w:r>
          </w:p>
          <w:p w:rsidR="007545F8" w:rsidRPr="00F441D2" w:rsidRDefault="007545F8" w:rsidP="007545F8">
            <w:pPr>
              <w:spacing w:before="60" w:after="60"/>
              <w:rPr>
                <w:sz w:val="20"/>
                <w:szCs w:val="20"/>
              </w:rPr>
            </w:pPr>
            <w:r>
              <w:rPr>
                <w:sz w:val="20"/>
                <w:szCs w:val="20"/>
              </w:rPr>
              <w:t>Description shows adequate coordination &amp; financial accounting – 3 points</w:t>
            </w:r>
          </w:p>
        </w:tc>
      </w:tr>
      <w:tr w:rsidR="007A0306" w:rsidRPr="00F441D2" w:rsidTr="00072FBC">
        <w:trPr>
          <w:cantSplit/>
          <w:trHeight w:val="827"/>
        </w:trPr>
        <w:tc>
          <w:tcPr>
            <w:tcW w:w="2126" w:type="dxa"/>
            <w:vMerge/>
            <w:shd w:val="clear" w:color="auto" w:fill="C6D9F1" w:themeFill="text2" w:themeFillTint="33"/>
          </w:tcPr>
          <w:p w:rsidR="007A0306" w:rsidRPr="00F441D2" w:rsidRDefault="007A0306" w:rsidP="007545F8">
            <w:pPr>
              <w:spacing w:before="60" w:after="60"/>
              <w:rPr>
                <w:sz w:val="20"/>
                <w:szCs w:val="20"/>
              </w:rPr>
            </w:pPr>
          </w:p>
        </w:tc>
        <w:tc>
          <w:tcPr>
            <w:tcW w:w="3150" w:type="dxa"/>
            <w:shd w:val="clear" w:color="auto" w:fill="C6D9F1" w:themeFill="text2" w:themeFillTint="33"/>
          </w:tcPr>
          <w:p w:rsidR="007A0306" w:rsidRPr="00F441D2" w:rsidRDefault="006313D4" w:rsidP="007545F8">
            <w:pPr>
              <w:spacing w:after="60"/>
              <w:rPr>
                <w:sz w:val="20"/>
                <w:szCs w:val="20"/>
              </w:rPr>
            </w:pPr>
            <w:r>
              <w:rPr>
                <w:sz w:val="20"/>
                <w:szCs w:val="20"/>
              </w:rPr>
              <w:t>Participation in CoC or Network</w:t>
            </w:r>
            <w:r w:rsidR="007545F8">
              <w:rPr>
                <w:sz w:val="20"/>
                <w:szCs w:val="20"/>
              </w:rPr>
              <w:t xml:space="preserve"> (up to 6 points) </w:t>
            </w:r>
          </w:p>
        </w:tc>
        <w:tc>
          <w:tcPr>
            <w:tcW w:w="5434" w:type="dxa"/>
            <w:shd w:val="clear" w:color="auto" w:fill="C6D9F1" w:themeFill="text2" w:themeFillTint="33"/>
          </w:tcPr>
          <w:p w:rsidR="007A0306" w:rsidRDefault="00120C23" w:rsidP="00120C23">
            <w:pPr>
              <w:rPr>
                <w:sz w:val="20"/>
                <w:szCs w:val="20"/>
              </w:rPr>
            </w:pPr>
            <w:r>
              <w:rPr>
                <w:sz w:val="20"/>
                <w:szCs w:val="20"/>
              </w:rPr>
              <w:t>Regular attendance at CoC/Network meetings</w:t>
            </w:r>
            <w:r w:rsidR="007545F8">
              <w:rPr>
                <w:sz w:val="20"/>
                <w:szCs w:val="20"/>
              </w:rPr>
              <w:t xml:space="preserve"> – 6 points</w:t>
            </w:r>
          </w:p>
          <w:p w:rsidR="00120C23" w:rsidRDefault="00120C23" w:rsidP="00120C23">
            <w:pPr>
              <w:rPr>
                <w:sz w:val="20"/>
                <w:szCs w:val="20"/>
              </w:rPr>
            </w:pPr>
            <w:r>
              <w:rPr>
                <w:sz w:val="20"/>
                <w:szCs w:val="20"/>
              </w:rPr>
              <w:t>Occasional attendance at CoC/Network meetings</w:t>
            </w:r>
            <w:r w:rsidR="007545F8">
              <w:rPr>
                <w:sz w:val="20"/>
                <w:szCs w:val="20"/>
              </w:rPr>
              <w:t xml:space="preserve"> – 5 points</w:t>
            </w:r>
          </w:p>
          <w:p w:rsidR="00120C23" w:rsidRPr="00F441D2" w:rsidRDefault="00120C23" w:rsidP="006E3ABF">
            <w:pPr>
              <w:rPr>
                <w:sz w:val="20"/>
                <w:szCs w:val="20"/>
              </w:rPr>
            </w:pPr>
            <w:r>
              <w:rPr>
                <w:sz w:val="20"/>
                <w:szCs w:val="20"/>
              </w:rPr>
              <w:t>Infrequent attendance</w:t>
            </w:r>
            <w:r w:rsidR="006E3ABF">
              <w:rPr>
                <w:sz w:val="20"/>
                <w:szCs w:val="20"/>
              </w:rPr>
              <w:t xml:space="preserve"> – 3</w:t>
            </w:r>
            <w:r w:rsidR="007545F8">
              <w:rPr>
                <w:sz w:val="20"/>
                <w:szCs w:val="20"/>
              </w:rPr>
              <w:t xml:space="preserve"> points</w:t>
            </w:r>
          </w:p>
        </w:tc>
      </w:tr>
      <w:tr w:rsidR="007A0306" w:rsidRPr="00F441D2" w:rsidTr="00072FBC">
        <w:trPr>
          <w:cantSplit/>
          <w:trHeight w:val="890"/>
        </w:trPr>
        <w:tc>
          <w:tcPr>
            <w:tcW w:w="2126" w:type="dxa"/>
            <w:vMerge/>
            <w:shd w:val="clear" w:color="auto" w:fill="C6D9F1" w:themeFill="text2" w:themeFillTint="33"/>
          </w:tcPr>
          <w:p w:rsidR="007A0306" w:rsidRPr="00F441D2" w:rsidRDefault="007A0306" w:rsidP="007545F8">
            <w:pPr>
              <w:spacing w:before="60" w:after="60"/>
              <w:rPr>
                <w:sz w:val="20"/>
                <w:szCs w:val="20"/>
              </w:rPr>
            </w:pPr>
          </w:p>
        </w:tc>
        <w:tc>
          <w:tcPr>
            <w:tcW w:w="3150" w:type="dxa"/>
            <w:shd w:val="clear" w:color="auto" w:fill="C6D9F1" w:themeFill="text2" w:themeFillTint="33"/>
          </w:tcPr>
          <w:p w:rsidR="007A0306" w:rsidRPr="00F441D2" w:rsidRDefault="00E66FB6" w:rsidP="006E3ABF">
            <w:pPr>
              <w:spacing w:after="60"/>
              <w:rPr>
                <w:sz w:val="20"/>
                <w:szCs w:val="20"/>
              </w:rPr>
            </w:pPr>
            <w:r>
              <w:rPr>
                <w:sz w:val="20"/>
                <w:szCs w:val="20"/>
              </w:rPr>
              <w:t xml:space="preserve">Evidence of external coordination – </w:t>
            </w:r>
            <w:r w:rsidR="007545F8" w:rsidRPr="007545F8">
              <w:rPr>
                <w:i/>
                <w:sz w:val="20"/>
                <w:szCs w:val="20"/>
              </w:rPr>
              <w:t>i.e.,</w:t>
            </w:r>
            <w:r w:rsidR="007545F8">
              <w:rPr>
                <w:sz w:val="20"/>
                <w:szCs w:val="20"/>
              </w:rPr>
              <w:t xml:space="preserve"> </w:t>
            </w:r>
            <w:r>
              <w:rPr>
                <w:sz w:val="20"/>
                <w:szCs w:val="20"/>
              </w:rPr>
              <w:t>examples of c</w:t>
            </w:r>
            <w:r w:rsidR="006313D4">
              <w:rPr>
                <w:sz w:val="20"/>
                <w:szCs w:val="20"/>
              </w:rPr>
              <w:t>ollaboration</w:t>
            </w:r>
            <w:r>
              <w:rPr>
                <w:sz w:val="20"/>
                <w:szCs w:val="20"/>
              </w:rPr>
              <w:t xml:space="preserve"> with other entities serving the same population</w:t>
            </w:r>
            <w:r w:rsidR="007545F8">
              <w:rPr>
                <w:sz w:val="20"/>
                <w:szCs w:val="20"/>
              </w:rPr>
              <w:t xml:space="preserve"> (up to 6 points)</w:t>
            </w:r>
          </w:p>
        </w:tc>
        <w:tc>
          <w:tcPr>
            <w:tcW w:w="5434" w:type="dxa"/>
            <w:shd w:val="clear" w:color="auto" w:fill="C6D9F1" w:themeFill="text2" w:themeFillTint="33"/>
          </w:tcPr>
          <w:p w:rsidR="007A0306" w:rsidRDefault="007545F8" w:rsidP="007545F8">
            <w:pPr>
              <w:spacing w:before="60"/>
              <w:rPr>
                <w:sz w:val="20"/>
                <w:szCs w:val="20"/>
              </w:rPr>
            </w:pPr>
            <w:r>
              <w:rPr>
                <w:sz w:val="20"/>
                <w:szCs w:val="20"/>
              </w:rPr>
              <w:t>Provides 2 examples o</w:t>
            </w:r>
            <w:r w:rsidR="006E3ABF">
              <w:rPr>
                <w:sz w:val="20"/>
                <w:szCs w:val="20"/>
              </w:rPr>
              <w:t>f</w:t>
            </w:r>
            <w:r>
              <w:rPr>
                <w:sz w:val="20"/>
                <w:szCs w:val="20"/>
              </w:rPr>
              <w:t xml:space="preserve"> inter-agency collaboration  - 6 points</w:t>
            </w:r>
          </w:p>
          <w:p w:rsidR="007545F8" w:rsidRPr="00F441D2" w:rsidRDefault="007545F8" w:rsidP="007545F8">
            <w:pPr>
              <w:spacing w:after="60"/>
              <w:rPr>
                <w:sz w:val="20"/>
                <w:szCs w:val="20"/>
              </w:rPr>
            </w:pPr>
            <w:r>
              <w:rPr>
                <w:sz w:val="20"/>
                <w:szCs w:val="20"/>
              </w:rPr>
              <w:t>Provides 1 example of interagency collaboration – 3 points</w:t>
            </w:r>
          </w:p>
        </w:tc>
      </w:tr>
      <w:tr w:rsidR="001241CC" w:rsidRPr="00F441D2" w:rsidTr="00072FBC">
        <w:tc>
          <w:tcPr>
            <w:tcW w:w="2126" w:type="dxa"/>
            <w:vMerge w:val="restart"/>
            <w:shd w:val="clear" w:color="auto" w:fill="F2F2F2" w:themeFill="background1" w:themeFillShade="F2"/>
            <w:vAlign w:val="center"/>
          </w:tcPr>
          <w:p w:rsidR="001241CC" w:rsidRPr="004E7DB4" w:rsidRDefault="001241CC" w:rsidP="007545F8">
            <w:pPr>
              <w:spacing w:after="60"/>
              <w:rPr>
                <w:b/>
                <w:sz w:val="24"/>
                <w:szCs w:val="24"/>
              </w:rPr>
            </w:pPr>
            <w:r w:rsidRPr="004E7DB4">
              <w:rPr>
                <w:b/>
                <w:sz w:val="24"/>
                <w:szCs w:val="24"/>
              </w:rPr>
              <w:t>FINANCIAL</w:t>
            </w:r>
          </w:p>
          <w:p w:rsidR="001241CC" w:rsidRPr="004E7DB4" w:rsidRDefault="001241CC" w:rsidP="007545F8">
            <w:pPr>
              <w:spacing w:after="60"/>
              <w:rPr>
                <w:sz w:val="20"/>
                <w:szCs w:val="20"/>
              </w:rPr>
            </w:pPr>
            <w:r>
              <w:rPr>
                <w:sz w:val="20"/>
                <w:szCs w:val="20"/>
              </w:rPr>
              <w:t xml:space="preserve">20 </w:t>
            </w:r>
            <w:r w:rsidRPr="004E7DB4">
              <w:rPr>
                <w:sz w:val="20"/>
                <w:szCs w:val="20"/>
              </w:rPr>
              <w:t>points</w:t>
            </w:r>
          </w:p>
          <w:p w:rsidR="001241CC" w:rsidRDefault="001241CC" w:rsidP="007545F8">
            <w:pPr>
              <w:spacing w:before="60"/>
              <w:rPr>
                <w:i/>
                <w:sz w:val="20"/>
                <w:szCs w:val="20"/>
              </w:rPr>
            </w:pPr>
            <w:r w:rsidRPr="004E7DB4">
              <w:rPr>
                <w:i/>
                <w:sz w:val="20"/>
                <w:szCs w:val="20"/>
              </w:rPr>
              <w:t>Source:</w:t>
            </w:r>
          </w:p>
          <w:p w:rsidR="001241CC" w:rsidRPr="004E7DB4" w:rsidRDefault="001241CC" w:rsidP="007545F8">
            <w:pPr>
              <w:spacing w:after="60"/>
              <w:rPr>
                <w:b/>
                <w:sz w:val="24"/>
                <w:szCs w:val="24"/>
              </w:rPr>
            </w:pPr>
            <w:r w:rsidRPr="006137D7">
              <w:rPr>
                <w:sz w:val="20"/>
                <w:szCs w:val="20"/>
              </w:rPr>
              <w:t>Budget submittal, leverage letters,</w:t>
            </w:r>
            <w:r>
              <w:rPr>
                <w:b/>
                <w:sz w:val="20"/>
                <w:szCs w:val="20"/>
              </w:rPr>
              <w:t xml:space="preserve"> </w:t>
            </w:r>
            <w:r w:rsidRPr="00134575">
              <w:rPr>
                <w:sz w:val="20"/>
                <w:szCs w:val="20"/>
              </w:rPr>
              <w:t>program audit</w:t>
            </w:r>
          </w:p>
        </w:tc>
        <w:tc>
          <w:tcPr>
            <w:tcW w:w="3150" w:type="dxa"/>
            <w:shd w:val="clear" w:color="auto" w:fill="F2F2F2" w:themeFill="background1" w:themeFillShade="F2"/>
          </w:tcPr>
          <w:p w:rsidR="001241CC" w:rsidRDefault="001241CC" w:rsidP="007545F8">
            <w:pPr>
              <w:spacing w:before="60" w:after="60"/>
              <w:rPr>
                <w:sz w:val="20"/>
                <w:szCs w:val="20"/>
              </w:rPr>
            </w:pPr>
            <w:r>
              <w:rPr>
                <w:sz w:val="20"/>
                <w:szCs w:val="20"/>
              </w:rPr>
              <w:t>Budget submission (up to 5 points)</w:t>
            </w:r>
          </w:p>
        </w:tc>
        <w:tc>
          <w:tcPr>
            <w:tcW w:w="5434" w:type="dxa"/>
            <w:shd w:val="clear" w:color="auto" w:fill="F2F2F2" w:themeFill="background1" w:themeFillShade="F2"/>
          </w:tcPr>
          <w:p w:rsidR="001241CC" w:rsidRPr="00F441D2" w:rsidRDefault="001241CC" w:rsidP="007545F8">
            <w:pPr>
              <w:spacing w:before="60" w:after="60"/>
              <w:rPr>
                <w:sz w:val="20"/>
                <w:szCs w:val="20"/>
              </w:rPr>
            </w:pPr>
            <w:r>
              <w:rPr>
                <w:sz w:val="20"/>
                <w:szCs w:val="20"/>
              </w:rPr>
              <w:t>Budget is accurate</w:t>
            </w:r>
            <w:r w:rsidR="007545F8">
              <w:rPr>
                <w:sz w:val="20"/>
                <w:szCs w:val="20"/>
              </w:rPr>
              <w:t xml:space="preserve">&amp; complies </w:t>
            </w:r>
            <w:r>
              <w:rPr>
                <w:sz w:val="20"/>
                <w:szCs w:val="20"/>
              </w:rPr>
              <w:t>with CoC Interim Rule – 5 points</w:t>
            </w:r>
          </w:p>
        </w:tc>
      </w:tr>
      <w:tr w:rsidR="001241CC" w:rsidRPr="00F441D2" w:rsidTr="007545F8">
        <w:trPr>
          <w:trHeight w:val="539"/>
        </w:trPr>
        <w:tc>
          <w:tcPr>
            <w:tcW w:w="2126" w:type="dxa"/>
            <w:vMerge/>
            <w:shd w:val="clear" w:color="auto" w:fill="F2F2F2" w:themeFill="background1" w:themeFillShade="F2"/>
            <w:vAlign w:val="center"/>
          </w:tcPr>
          <w:p w:rsidR="001241CC" w:rsidRPr="00F441D2" w:rsidRDefault="001241CC" w:rsidP="007545F8">
            <w:pPr>
              <w:spacing w:after="60"/>
              <w:rPr>
                <w:b/>
                <w:sz w:val="20"/>
                <w:szCs w:val="20"/>
              </w:rPr>
            </w:pPr>
          </w:p>
        </w:tc>
        <w:tc>
          <w:tcPr>
            <w:tcW w:w="3150" w:type="dxa"/>
            <w:shd w:val="clear" w:color="auto" w:fill="F2F2F2" w:themeFill="background1" w:themeFillShade="F2"/>
          </w:tcPr>
          <w:p w:rsidR="001241CC" w:rsidRPr="00F441D2" w:rsidRDefault="001241CC" w:rsidP="007545F8">
            <w:pPr>
              <w:spacing w:before="60" w:after="60"/>
              <w:rPr>
                <w:sz w:val="20"/>
                <w:szCs w:val="20"/>
              </w:rPr>
            </w:pPr>
            <w:r>
              <w:rPr>
                <w:sz w:val="20"/>
                <w:szCs w:val="20"/>
              </w:rPr>
              <w:t>Reasonable cost per bed/unit (up to 5 points)</w:t>
            </w:r>
          </w:p>
        </w:tc>
        <w:tc>
          <w:tcPr>
            <w:tcW w:w="5434" w:type="dxa"/>
            <w:shd w:val="clear" w:color="auto" w:fill="F2F2F2" w:themeFill="background1" w:themeFillShade="F2"/>
          </w:tcPr>
          <w:p w:rsidR="007545F8" w:rsidRPr="00F441D2" w:rsidRDefault="007545F8" w:rsidP="007545F8">
            <w:pPr>
              <w:spacing w:before="60" w:after="60"/>
              <w:rPr>
                <w:sz w:val="20"/>
                <w:szCs w:val="20"/>
              </w:rPr>
            </w:pPr>
            <w:r>
              <w:rPr>
                <w:sz w:val="20"/>
                <w:szCs w:val="20"/>
              </w:rPr>
              <w:t>Cost per bed is comparable to existing programs with similar design and target population – 5 points</w:t>
            </w:r>
          </w:p>
        </w:tc>
      </w:tr>
      <w:tr w:rsidR="001241CC" w:rsidRPr="00F441D2" w:rsidTr="00072FBC">
        <w:tc>
          <w:tcPr>
            <w:tcW w:w="2126" w:type="dxa"/>
            <w:vMerge/>
            <w:shd w:val="clear" w:color="auto" w:fill="F2F2F2" w:themeFill="background1" w:themeFillShade="F2"/>
          </w:tcPr>
          <w:p w:rsidR="001241CC" w:rsidRPr="00F441D2" w:rsidRDefault="001241CC" w:rsidP="007545F8">
            <w:pPr>
              <w:spacing w:before="60" w:after="60"/>
              <w:rPr>
                <w:sz w:val="20"/>
                <w:szCs w:val="20"/>
              </w:rPr>
            </w:pPr>
          </w:p>
        </w:tc>
        <w:tc>
          <w:tcPr>
            <w:tcW w:w="3150" w:type="dxa"/>
            <w:shd w:val="clear" w:color="auto" w:fill="F2F2F2" w:themeFill="background1" w:themeFillShade="F2"/>
          </w:tcPr>
          <w:p w:rsidR="001241CC" w:rsidRPr="00F441D2" w:rsidRDefault="001241CC" w:rsidP="001241CC">
            <w:pPr>
              <w:spacing w:before="60" w:after="60"/>
              <w:rPr>
                <w:sz w:val="20"/>
                <w:szCs w:val="20"/>
              </w:rPr>
            </w:pPr>
            <w:r>
              <w:rPr>
                <w:sz w:val="20"/>
                <w:szCs w:val="20"/>
              </w:rPr>
              <w:t>Leverage (up to 5 points)</w:t>
            </w:r>
          </w:p>
        </w:tc>
        <w:tc>
          <w:tcPr>
            <w:tcW w:w="5434" w:type="dxa"/>
            <w:shd w:val="clear" w:color="auto" w:fill="F2F2F2" w:themeFill="background1" w:themeFillShade="F2"/>
          </w:tcPr>
          <w:p w:rsidR="001241CC" w:rsidRDefault="001241CC" w:rsidP="007545F8">
            <w:pPr>
              <w:spacing w:before="60"/>
              <w:rPr>
                <w:sz w:val="20"/>
                <w:szCs w:val="20"/>
              </w:rPr>
            </w:pPr>
            <w:r>
              <w:rPr>
                <w:sz w:val="20"/>
                <w:szCs w:val="20"/>
              </w:rPr>
              <w:t>Documented leverage of 175% or more – 5 points</w:t>
            </w:r>
          </w:p>
          <w:p w:rsidR="001241CC" w:rsidRDefault="001241CC" w:rsidP="007545F8">
            <w:pPr>
              <w:rPr>
                <w:sz w:val="20"/>
                <w:szCs w:val="20"/>
              </w:rPr>
            </w:pPr>
            <w:r>
              <w:rPr>
                <w:sz w:val="20"/>
                <w:szCs w:val="20"/>
              </w:rPr>
              <w:t>Documented leverage of 150-174% - 4 points</w:t>
            </w:r>
          </w:p>
          <w:p w:rsidR="001241CC" w:rsidRPr="00F441D2" w:rsidRDefault="001241CC" w:rsidP="007545F8">
            <w:pPr>
              <w:spacing w:after="60"/>
              <w:rPr>
                <w:sz w:val="20"/>
                <w:szCs w:val="20"/>
              </w:rPr>
            </w:pPr>
            <w:r>
              <w:rPr>
                <w:sz w:val="20"/>
                <w:szCs w:val="20"/>
              </w:rPr>
              <w:t>Documented leverage of 100-149% - 2 points</w:t>
            </w:r>
          </w:p>
        </w:tc>
      </w:tr>
      <w:tr w:rsidR="001241CC" w:rsidRPr="00F441D2" w:rsidTr="00072FBC">
        <w:tc>
          <w:tcPr>
            <w:tcW w:w="2126" w:type="dxa"/>
            <w:vMerge/>
            <w:shd w:val="clear" w:color="auto" w:fill="F2F2F2" w:themeFill="background1" w:themeFillShade="F2"/>
          </w:tcPr>
          <w:p w:rsidR="001241CC" w:rsidRPr="00F441D2" w:rsidRDefault="001241CC" w:rsidP="007545F8">
            <w:pPr>
              <w:spacing w:before="60" w:after="60"/>
              <w:rPr>
                <w:sz w:val="20"/>
                <w:szCs w:val="20"/>
              </w:rPr>
            </w:pPr>
          </w:p>
        </w:tc>
        <w:tc>
          <w:tcPr>
            <w:tcW w:w="3150" w:type="dxa"/>
            <w:shd w:val="clear" w:color="auto" w:fill="F2F2F2" w:themeFill="background1" w:themeFillShade="F2"/>
          </w:tcPr>
          <w:p w:rsidR="001241CC" w:rsidRPr="00F441D2" w:rsidRDefault="001241CC" w:rsidP="007545F8">
            <w:pPr>
              <w:spacing w:before="60" w:after="60"/>
              <w:rPr>
                <w:sz w:val="20"/>
                <w:szCs w:val="20"/>
              </w:rPr>
            </w:pPr>
            <w:r>
              <w:rPr>
                <w:sz w:val="20"/>
                <w:szCs w:val="20"/>
              </w:rPr>
              <w:t>Audit (up to 5 points)</w:t>
            </w:r>
          </w:p>
        </w:tc>
        <w:tc>
          <w:tcPr>
            <w:tcW w:w="5434" w:type="dxa"/>
            <w:shd w:val="clear" w:color="auto" w:fill="F2F2F2" w:themeFill="background1" w:themeFillShade="F2"/>
          </w:tcPr>
          <w:p w:rsidR="001241CC" w:rsidRPr="00F441D2" w:rsidRDefault="001241CC" w:rsidP="007545F8">
            <w:pPr>
              <w:spacing w:before="60" w:after="60"/>
              <w:rPr>
                <w:sz w:val="20"/>
                <w:szCs w:val="20"/>
              </w:rPr>
            </w:pPr>
            <w:r>
              <w:rPr>
                <w:sz w:val="20"/>
                <w:szCs w:val="20"/>
              </w:rPr>
              <w:t>No findings – 5 points; Findings – 0 points</w:t>
            </w:r>
          </w:p>
        </w:tc>
      </w:tr>
      <w:tr w:rsidR="00546188" w:rsidRPr="00F441D2" w:rsidTr="00072FBC">
        <w:trPr>
          <w:trHeight w:val="368"/>
        </w:trPr>
        <w:tc>
          <w:tcPr>
            <w:tcW w:w="2126" w:type="dxa"/>
            <w:vMerge w:val="restart"/>
            <w:shd w:val="clear" w:color="auto" w:fill="C6D9F1" w:themeFill="text2" w:themeFillTint="33"/>
          </w:tcPr>
          <w:p w:rsidR="00546188" w:rsidRPr="004E7DB4" w:rsidRDefault="00546188" w:rsidP="007545F8">
            <w:pPr>
              <w:spacing w:before="60"/>
              <w:rPr>
                <w:b/>
                <w:sz w:val="24"/>
                <w:szCs w:val="24"/>
              </w:rPr>
            </w:pPr>
            <w:r w:rsidRPr="004E7DB4">
              <w:rPr>
                <w:b/>
                <w:sz w:val="24"/>
                <w:szCs w:val="24"/>
              </w:rPr>
              <w:t>PROGRAM MANAGEMENT</w:t>
            </w:r>
          </w:p>
          <w:p w:rsidR="00546188" w:rsidRPr="004E7DB4" w:rsidRDefault="00546188" w:rsidP="007545F8">
            <w:pPr>
              <w:spacing w:after="60"/>
              <w:rPr>
                <w:sz w:val="20"/>
                <w:szCs w:val="20"/>
              </w:rPr>
            </w:pPr>
            <w:r w:rsidRPr="004E7DB4">
              <w:rPr>
                <w:sz w:val="20"/>
                <w:szCs w:val="20"/>
              </w:rPr>
              <w:t>20 points</w:t>
            </w:r>
          </w:p>
          <w:p w:rsidR="00546188" w:rsidRDefault="00546188" w:rsidP="007545F8">
            <w:pPr>
              <w:spacing w:before="60"/>
              <w:rPr>
                <w:i/>
                <w:sz w:val="20"/>
                <w:szCs w:val="20"/>
              </w:rPr>
            </w:pPr>
            <w:r w:rsidRPr="004E7DB4">
              <w:rPr>
                <w:i/>
                <w:sz w:val="20"/>
                <w:szCs w:val="20"/>
              </w:rPr>
              <w:t>Source:</w:t>
            </w:r>
          </w:p>
          <w:p w:rsidR="00546188" w:rsidRPr="004E7DB4" w:rsidRDefault="007545F8" w:rsidP="007545F8">
            <w:pPr>
              <w:spacing w:after="60"/>
              <w:rPr>
                <w:sz w:val="20"/>
                <w:szCs w:val="20"/>
              </w:rPr>
            </w:pPr>
            <w:r>
              <w:rPr>
                <w:sz w:val="20"/>
                <w:szCs w:val="20"/>
              </w:rPr>
              <w:t xml:space="preserve">Application, </w:t>
            </w:r>
            <w:r w:rsidR="00546188">
              <w:rPr>
                <w:sz w:val="20"/>
                <w:szCs w:val="20"/>
              </w:rPr>
              <w:t>agency policies and procedures</w:t>
            </w:r>
          </w:p>
        </w:tc>
        <w:tc>
          <w:tcPr>
            <w:tcW w:w="3150" w:type="dxa"/>
            <w:shd w:val="clear" w:color="auto" w:fill="C6D9F1" w:themeFill="text2" w:themeFillTint="33"/>
          </w:tcPr>
          <w:p w:rsidR="00546188" w:rsidRPr="00F441D2" w:rsidRDefault="00546188" w:rsidP="00AE05DB">
            <w:pPr>
              <w:spacing w:before="60" w:after="60"/>
              <w:rPr>
                <w:sz w:val="20"/>
                <w:szCs w:val="20"/>
              </w:rPr>
            </w:pPr>
            <w:r>
              <w:rPr>
                <w:sz w:val="20"/>
                <w:szCs w:val="20"/>
              </w:rPr>
              <w:t>HMIS experience (up to 7 points)</w:t>
            </w:r>
          </w:p>
        </w:tc>
        <w:tc>
          <w:tcPr>
            <w:tcW w:w="5434" w:type="dxa"/>
            <w:shd w:val="clear" w:color="auto" w:fill="C6D9F1" w:themeFill="text2" w:themeFillTint="33"/>
          </w:tcPr>
          <w:p w:rsidR="00546188" w:rsidRPr="00F441D2" w:rsidRDefault="00546188" w:rsidP="00AE05DB">
            <w:pPr>
              <w:spacing w:before="60" w:after="60"/>
              <w:rPr>
                <w:sz w:val="20"/>
                <w:szCs w:val="20"/>
              </w:rPr>
            </w:pPr>
            <w:r>
              <w:rPr>
                <w:sz w:val="20"/>
                <w:szCs w:val="20"/>
              </w:rPr>
              <w:t>Agency provides HMIS data on existing program(s) to City of Springfield HMIS or MA ASIST – 7 points</w:t>
            </w:r>
          </w:p>
        </w:tc>
      </w:tr>
      <w:tr w:rsidR="00546188" w:rsidRPr="00F441D2" w:rsidTr="00072FBC">
        <w:tc>
          <w:tcPr>
            <w:tcW w:w="2126" w:type="dxa"/>
            <w:vMerge/>
            <w:shd w:val="clear" w:color="auto" w:fill="C6D9F1" w:themeFill="text2" w:themeFillTint="33"/>
          </w:tcPr>
          <w:p w:rsidR="00546188" w:rsidRPr="00F441D2" w:rsidRDefault="00546188" w:rsidP="007545F8">
            <w:pPr>
              <w:spacing w:before="60" w:after="60"/>
              <w:rPr>
                <w:sz w:val="20"/>
                <w:szCs w:val="20"/>
              </w:rPr>
            </w:pPr>
          </w:p>
        </w:tc>
        <w:tc>
          <w:tcPr>
            <w:tcW w:w="3150" w:type="dxa"/>
            <w:shd w:val="clear" w:color="auto" w:fill="C6D9F1" w:themeFill="text2" w:themeFillTint="33"/>
          </w:tcPr>
          <w:p w:rsidR="00546188" w:rsidRPr="00F441D2" w:rsidRDefault="007545F8" w:rsidP="007545F8">
            <w:pPr>
              <w:spacing w:before="60" w:after="60"/>
              <w:rPr>
                <w:sz w:val="20"/>
                <w:szCs w:val="20"/>
              </w:rPr>
            </w:pPr>
            <w:r>
              <w:rPr>
                <w:sz w:val="20"/>
                <w:szCs w:val="20"/>
              </w:rPr>
              <w:t>Schedule &amp; management plan</w:t>
            </w:r>
            <w:r w:rsidR="00D27C88">
              <w:rPr>
                <w:sz w:val="20"/>
                <w:szCs w:val="20"/>
              </w:rPr>
              <w:t xml:space="preserve"> (7 points)</w:t>
            </w:r>
          </w:p>
        </w:tc>
        <w:tc>
          <w:tcPr>
            <w:tcW w:w="5434" w:type="dxa"/>
            <w:shd w:val="clear" w:color="auto" w:fill="C6D9F1" w:themeFill="text2" w:themeFillTint="33"/>
          </w:tcPr>
          <w:p w:rsidR="00546188" w:rsidRPr="00F441D2" w:rsidRDefault="00D27C88" w:rsidP="007545F8">
            <w:pPr>
              <w:rPr>
                <w:sz w:val="20"/>
                <w:szCs w:val="20"/>
              </w:rPr>
            </w:pPr>
            <w:r>
              <w:rPr>
                <w:sz w:val="20"/>
                <w:szCs w:val="20"/>
              </w:rPr>
              <w:t>Full points where there is a plan for timely start up and strong management</w:t>
            </w:r>
          </w:p>
        </w:tc>
      </w:tr>
      <w:tr w:rsidR="00546188" w:rsidRPr="00F441D2" w:rsidTr="00072FBC">
        <w:tc>
          <w:tcPr>
            <w:tcW w:w="2126" w:type="dxa"/>
            <w:vMerge/>
            <w:shd w:val="clear" w:color="auto" w:fill="C6D9F1" w:themeFill="text2" w:themeFillTint="33"/>
          </w:tcPr>
          <w:p w:rsidR="00546188" w:rsidRPr="00F441D2" w:rsidRDefault="00546188" w:rsidP="007545F8">
            <w:pPr>
              <w:spacing w:before="60" w:after="60"/>
              <w:rPr>
                <w:sz w:val="20"/>
                <w:szCs w:val="20"/>
              </w:rPr>
            </w:pPr>
          </w:p>
        </w:tc>
        <w:tc>
          <w:tcPr>
            <w:tcW w:w="3150" w:type="dxa"/>
            <w:shd w:val="clear" w:color="auto" w:fill="C6D9F1" w:themeFill="text2" w:themeFillTint="33"/>
          </w:tcPr>
          <w:p w:rsidR="00546188" w:rsidRPr="00F441D2" w:rsidRDefault="00546188" w:rsidP="00D27C88">
            <w:pPr>
              <w:spacing w:before="60" w:after="60"/>
              <w:rPr>
                <w:sz w:val="20"/>
                <w:szCs w:val="20"/>
              </w:rPr>
            </w:pPr>
            <w:r>
              <w:rPr>
                <w:sz w:val="20"/>
                <w:szCs w:val="20"/>
              </w:rPr>
              <w:t>Complete and compliant policies &amp; procedures (up to 6 points)</w:t>
            </w:r>
          </w:p>
        </w:tc>
        <w:tc>
          <w:tcPr>
            <w:tcW w:w="5434" w:type="dxa"/>
            <w:shd w:val="clear" w:color="auto" w:fill="C6D9F1" w:themeFill="text2" w:themeFillTint="33"/>
          </w:tcPr>
          <w:p w:rsidR="00546188" w:rsidRPr="00F441D2" w:rsidRDefault="00D27C88" w:rsidP="007545F8">
            <w:pPr>
              <w:spacing w:before="60" w:after="60"/>
              <w:rPr>
                <w:sz w:val="20"/>
                <w:szCs w:val="20"/>
              </w:rPr>
            </w:pPr>
            <w:r>
              <w:rPr>
                <w:sz w:val="20"/>
                <w:szCs w:val="20"/>
              </w:rPr>
              <w:t>Full points where all required policies and procedures are submitted and comply with HUD requirements.</w:t>
            </w:r>
          </w:p>
        </w:tc>
      </w:tr>
    </w:tbl>
    <w:p w:rsidR="00595C47" w:rsidRPr="00F441D2" w:rsidRDefault="00595C47" w:rsidP="00595C47">
      <w:pPr>
        <w:rPr>
          <w:sz w:val="20"/>
          <w:szCs w:val="20"/>
        </w:rPr>
      </w:pPr>
    </w:p>
    <w:p w:rsidR="00D97140" w:rsidRDefault="00D97140" w:rsidP="00983F87">
      <w:pPr>
        <w:rPr>
          <w:sz w:val="20"/>
          <w:szCs w:val="20"/>
        </w:rPr>
        <w:sectPr w:rsidR="00D97140" w:rsidSect="002F781A">
          <w:headerReference w:type="default" r:id="rId16"/>
          <w:footerReference w:type="default" r:id="rId17"/>
          <w:type w:val="continuous"/>
          <w:pgSz w:w="12240" w:h="15840"/>
          <w:pgMar w:top="720" w:right="720" w:bottom="720" w:left="720" w:header="720" w:footer="720" w:gutter="0"/>
          <w:cols w:space="720"/>
          <w:titlePg/>
          <w:docGrid w:linePitch="360"/>
        </w:sectPr>
      </w:pPr>
    </w:p>
    <w:p w:rsidR="00983F87" w:rsidRDefault="00983F87" w:rsidP="00983F87">
      <w:pPr>
        <w:pStyle w:val="Heading3"/>
        <w:spacing w:after="120"/>
        <w:rPr>
          <w:rFonts w:asciiTheme="minorHAnsi" w:eastAsiaTheme="minorHAnsi" w:hAnsiTheme="minorHAnsi" w:cstheme="minorBidi"/>
          <w:bCs w:val="0"/>
          <w:color w:val="FFFFFF" w:themeColor="background1"/>
          <w:sz w:val="24"/>
          <w:szCs w:val="24"/>
        </w:rPr>
      </w:pPr>
      <w:r w:rsidRPr="00DF0CA9">
        <w:rPr>
          <w:color w:val="1F497D" w:themeColor="text2"/>
        </w:rPr>
        <w:lastRenderedPageBreak/>
        <w:t>DEFINITIONS</w:t>
      </w:r>
    </w:p>
    <w:p w:rsidR="00983F87" w:rsidRPr="006E3ABF" w:rsidRDefault="00983F87" w:rsidP="00983F87">
      <w:pPr>
        <w:jc w:val="both"/>
        <w:rPr>
          <w:b/>
        </w:rPr>
      </w:pPr>
      <w:r w:rsidRPr="0003111F">
        <w:rPr>
          <w:b/>
        </w:rPr>
        <w:t>Chronically Homeless</w:t>
      </w:r>
      <w:r>
        <w:rPr>
          <w:b/>
        </w:rPr>
        <w:t xml:space="preserve">  </w:t>
      </w:r>
      <w:r w:rsidRPr="002D513D">
        <w:t>(1</w:t>
      </w:r>
      <w:r w:rsidRPr="00E77B7E">
        <w:t>) An individual who: (i) Is homeless and lives in a place not meant for human habitation, a safe haven, or in an emergency shelter; and (ii) Has been homeless and living or</w:t>
      </w:r>
      <w:r>
        <w:t xml:space="preserve"> </w:t>
      </w:r>
      <w:r w:rsidRPr="00E77B7E">
        <w:t xml:space="preserve">residing in a place not meant for human habitation, a safe haven, or in </w:t>
      </w:r>
      <w:r>
        <w:t>i</w:t>
      </w:r>
      <w:r w:rsidRPr="00E77B7E">
        <w:t>n emergency shelter continuously for</w:t>
      </w:r>
      <w:r>
        <w:t xml:space="preserve"> </w:t>
      </w:r>
      <w:r w:rsidRPr="00E77B7E">
        <w:t>at least one year or on at least four separate occasions in the last 3 years; and (iii) Can be diagnosed wi</w:t>
      </w:r>
      <w:r>
        <w:t xml:space="preserve">th one or more of the following conditions: substance abuse disorder, serious mental illness, developmental disability, post-traumatic stress disorder, cognitive impairments resulting from brain injury, or chronic physical illness or disability; </w:t>
      </w:r>
      <w:r w:rsidRPr="005179EC">
        <w:rPr>
          <w:u w:val="single"/>
        </w:rPr>
        <w:t>or</w:t>
      </w:r>
      <w:r>
        <w:t xml:space="preserve"> (2) an individual who has been residing in an institutional care facility, including a jail, mental health or substance abuse facility, hospital or other similar facility for fewer than 90 days and has met all the criteria in paragraph (1) of this definition before entering that facility; </w:t>
      </w:r>
      <w:r w:rsidRPr="005179EC">
        <w:rPr>
          <w:u w:val="single"/>
        </w:rPr>
        <w:t>or</w:t>
      </w:r>
      <w:r>
        <w:t xml:space="preserve"> (3) A family with an adult head of household (or if there is no adult in the family, a minor head of household) who meets all of the criteria in paragraph (1) of this definition, including a family whose composition has fluctuated while the head of household has been homeless.</w:t>
      </w:r>
    </w:p>
    <w:p w:rsidR="00983F87" w:rsidRPr="002D513D" w:rsidRDefault="00983F87" w:rsidP="00983F87">
      <w:pPr>
        <w:jc w:val="both"/>
      </w:pPr>
      <w:r w:rsidRPr="0003111F">
        <w:rPr>
          <w:b/>
        </w:rPr>
        <w:t>CoC Deed-Restricted</w:t>
      </w:r>
      <w:r w:rsidR="005179EC">
        <w:rPr>
          <w:b/>
        </w:rPr>
        <w:t xml:space="preserve"> </w:t>
      </w:r>
      <w:r w:rsidR="005179EC" w:rsidRPr="005179EC">
        <w:t xml:space="preserve">means a </w:t>
      </w:r>
      <w:r w:rsidRPr="005179EC">
        <w:t>site</w:t>
      </w:r>
      <w:r w:rsidRPr="002D513D">
        <w:t>-based program in a building purchased, constructed or rehabilitated with Continuum of Care funds, where the building is subject to a deed restr</w:t>
      </w:r>
      <w:r>
        <w:t>i</w:t>
      </w:r>
      <w:r w:rsidRPr="002D513D">
        <w:t>c</w:t>
      </w:r>
      <w:r>
        <w:t>t</w:t>
      </w:r>
      <w:r w:rsidRPr="002D513D">
        <w:t>ion</w:t>
      </w:r>
      <w:r>
        <w:t xml:space="preserve"> </w:t>
      </w:r>
      <w:r w:rsidR="006E3ABF">
        <w:t xml:space="preserve">related to its CoC funding </w:t>
      </w:r>
      <w:r>
        <w:t>requiring that it be used for transitional housing or permanent supportive housing for a period of 10 years after the date of initial occupancy, and the building is within the 10-year restricted period.</w:t>
      </w:r>
    </w:p>
    <w:p w:rsidR="00983F87" w:rsidRDefault="00983F87" w:rsidP="005179EC">
      <w:pPr>
        <w:jc w:val="both"/>
        <w:rPr>
          <w:rFonts w:cstheme="minorHAnsi"/>
          <w:lang w:val="en"/>
        </w:rPr>
      </w:pPr>
      <w:r w:rsidRPr="0003111F">
        <w:rPr>
          <w:b/>
        </w:rPr>
        <w:t>Evidence-Based Practices</w:t>
      </w:r>
      <w:r w:rsidR="00906329">
        <w:rPr>
          <w:b/>
        </w:rPr>
        <w:t xml:space="preserve"> </w:t>
      </w:r>
      <w:r w:rsidR="00906329" w:rsidRPr="00906329">
        <w:rPr>
          <w:rFonts w:cstheme="minorHAnsi"/>
        </w:rPr>
        <w:t xml:space="preserve">means </w:t>
      </w:r>
      <w:r w:rsidR="00906329" w:rsidRPr="00906329">
        <w:rPr>
          <w:rFonts w:cstheme="minorHAnsi"/>
          <w:lang w:val="en"/>
        </w:rPr>
        <w:t>activities that evaluation research has shown to be effective</w:t>
      </w:r>
      <w:r w:rsidR="00906329">
        <w:rPr>
          <w:rFonts w:cstheme="minorHAnsi"/>
          <w:lang w:val="en"/>
        </w:rPr>
        <w:t>.  Several evidence-based practices that are common in housing programs for persons who are homeless are: Critical Time Intervention, Motivational Interviewing, and Harm Reduction.  For this competition, an activity will receive points as an evidence-based practice if it is listed on SAMHSA’s National Registry of Eviden</w:t>
      </w:r>
      <w:r w:rsidR="006E3ABF">
        <w:rPr>
          <w:rFonts w:cstheme="minorHAnsi"/>
          <w:lang w:val="en"/>
        </w:rPr>
        <w:t xml:space="preserve">ce-Based Programs and Practices: </w:t>
      </w:r>
      <w:hyperlink r:id="rId18" w:history="1">
        <w:r w:rsidR="006E3ABF" w:rsidRPr="00DC7C64">
          <w:rPr>
            <w:rStyle w:val="Hyperlink"/>
            <w:rFonts w:cstheme="minorHAnsi"/>
            <w:lang w:val="en"/>
          </w:rPr>
          <w:t>http://www.nrepp.samhsa.gov</w:t>
        </w:r>
      </w:hyperlink>
    </w:p>
    <w:p w:rsidR="00983F87" w:rsidRPr="0003111F" w:rsidRDefault="00983F87" w:rsidP="00983F87">
      <w:pPr>
        <w:tabs>
          <w:tab w:val="left" w:pos="1680"/>
        </w:tabs>
        <w:jc w:val="both"/>
        <w:rPr>
          <w:b/>
        </w:rPr>
      </w:pPr>
      <w:r w:rsidRPr="0003111F">
        <w:rPr>
          <w:b/>
        </w:rPr>
        <w:t>Housing First</w:t>
      </w:r>
      <w:r>
        <w:rPr>
          <w:b/>
        </w:rPr>
        <w:t xml:space="preserve"> </w:t>
      </w:r>
      <w:r w:rsidRPr="00387574">
        <w:t>is a model of housing assistance that is offered without preconditions (such as sobriety or a minimum income threshold) or service participation requirements, and rapid placement and stabilization in permanent housing are primary goals</w:t>
      </w:r>
      <w:r>
        <w:rPr>
          <w:b/>
        </w:rPr>
        <w:t xml:space="preserve">.  </w:t>
      </w:r>
      <w:r w:rsidRPr="00387574">
        <w:rPr>
          <w:rFonts w:cs="Arial"/>
          <w:color w:val="000000"/>
          <w:shd w:val="clear" w:color="auto" w:fill="FFFFFF"/>
        </w:rPr>
        <w:t>The only real expectations of Housing First, which the individual agrees to prior to starting with the program, is to agree to have support workers visit at home, to pay their rent on time and in full (or agree to third party payment of rent), and to avoid disrupting the reasonable enjoyment of other tenants in the same building that would cause their eviction.</w:t>
      </w:r>
    </w:p>
    <w:p w:rsidR="00983F87" w:rsidRPr="00526B38" w:rsidRDefault="00983F87" w:rsidP="00983F87">
      <w:pPr>
        <w:jc w:val="both"/>
      </w:pPr>
      <w:r w:rsidRPr="0003111F">
        <w:rPr>
          <w:b/>
        </w:rPr>
        <w:t>Literally Homeless</w:t>
      </w:r>
      <w:r>
        <w:rPr>
          <w:b/>
        </w:rPr>
        <w:t xml:space="preserve">  </w:t>
      </w:r>
      <w:r>
        <w:t>An individual or family who lacks a fixed regular and adequate nighttime residence, meaning (i) An individual or family with a primary nighttime residence that is a public or private place that is not designed for ordinarily used as a regular sleeping accommodation for human beings, including a car, park, abandoned building, bus or train station, airport or camping ground, (ii) An individual or family living in a supervised publicly or privately oper</w:t>
      </w:r>
      <w:r w:rsidR="005179EC">
        <w:t xml:space="preserve">ated shelter </w:t>
      </w:r>
      <w:r>
        <w:t>designated to provide temporary living arrangements (including congregate shelter, transitional housing, and hotels and motels paid for by charitable organizations or by federal, state or local government programs for low-income individuals), or (iii) an individual who is exiting an institution where he or she resided 90 days or less  and who resided in an emergency shelter or place not meant for human habitation immediately before entering that institution.</w:t>
      </w:r>
    </w:p>
    <w:p w:rsidR="00983F87" w:rsidRPr="0003111F" w:rsidRDefault="00983F87" w:rsidP="00983F87">
      <w:pPr>
        <w:jc w:val="both"/>
        <w:rPr>
          <w:b/>
        </w:rPr>
      </w:pPr>
      <w:r w:rsidRPr="0003111F">
        <w:rPr>
          <w:b/>
        </w:rPr>
        <w:lastRenderedPageBreak/>
        <w:t>Mainstream Benefits</w:t>
      </w:r>
      <w:r>
        <w:rPr>
          <w:b/>
        </w:rPr>
        <w:t xml:space="preserve">  </w:t>
      </w:r>
      <w:r w:rsidR="005179EC">
        <w:rPr>
          <w:b/>
        </w:rPr>
        <w:t xml:space="preserve"> </w:t>
      </w:r>
      <w:r w:rsidRPr="00932B78">
        <w:t xml:space="preserve">Publicly-funded programs that provide services, housing and income supports to </w:t>
      </w:r>
      <w:r w:rsidR="006E3ABF">
        <w:t>low-income</w:t>
      </w:r>
      <w:r w:rsidRPr="00932B78">
        <w:t xml:space="preserve"> persons whether they are homeless or not. They include programs providing welfare, health care, mental health care, substance abuse treatment, and veterans’ assistance</w:t>
      </w:r>
      <w:r>
        <w:rPr>
          <w:b/>
        </w:rPr>
        <w:t>.</w:t>
      </w:r>
    </w:p>
    <w:p w:rsidR="00983F87" w:rsidRDefault="00983F87" w:rsidP="00983F87">
      <w:pPr>
        <w:jc w:val="both"/>
      </w:pPr>
      <w:r w:rsidRPr="0003111F">
        <w:rPr>
          <w:b/>
        </w:rPr>
        <w:t>Permanent Supportive Housing (PSH)</w:t>
      </w:r>
      <w:r>
        <w:rPr>
          <w:b/>
        </w:rPr>
        <w:t xml:space="preserve"> </w:t>
      </w:r>
      <w:r w:rsidRPr="00207BCE">
        <w:t>means permanent housing in which supportive services are provided to assist homeless persons with a disability to live independently.</w:t>
      </w:r>
      <w:r w:rsidRPr="00207BCE">
        <w:rPr>
          <w:b/>
        </w:rPr>
        <w:t xml:space="preserve"> </w:t>
      </w:r>
      <w:r>
        <w:rPr>
          <w:b/>
        </w:rPr>
        <w:t xml:space="preserve">  </w:t>
      </w:r>
      <w:r w:rsidRPr="00207BCE">
        <w:t>Permanent housing is community-based housing without a designated length of stay. To be permanent housing, the program participant must be the tenant on a lease for a term of at least one year, which is renewable for terms that are a minimum of one month long, and is terminable only for cause.</w:t>
      </w:r>
    </w:p>
    <w:p w:rsidR="00983F87" w:rsidRPr="00906329" w:rsidRDefault="00983F87" w:rsidP="00983F87">
      <w:pPr>
        <w:tabs>
          <w:tab w:val="left" w:pos="2595"/>
        </w:tabs>
        <w:jc w:val="both"/>
      </w:pPr>
      <w:proofErr w:type="gramStart"/>
      <w:r w:rsidRPr="0003111F">
        <w:rPr>
          <w:b/>
        </w:rPr>
        <w:t>Rapid Rehousing (RRH)</w:t>
      </w:r>
      <w:r>
        <w:rPr>
          <w:b/>
        </w:rPr>
        <w:t xml:space="preserve"> </w:t>
      </w:r>
      <w:r w:rsidRPr="00906329">
        <w:t>means short-term (up to 3 month) or medium-term (3 to 24 months)</w:t>
      </w:r>
      <w:r w:rsidR="00E4567E">
        <w:t xml:space="preserve"> financial assistance to obtain or maintain permanent housing</w:t>
      </w:r>
      <w:r w:rsidR="00D72557">
        <w:t>, along with case management during the period of rental assistance.</w:t>
      </w:r>
      <w:proofErr w:type="gramEnd"/>
      <w:r w:rsidRPr="00906329">
        <w:t xml:space="preserve">  </w:t>
      </w:r>
      <w:r w:rsidRPr="00906329">
        <w:tab/>
      </w:r>
    </w:p>
    <w:p w:rsidR="00983F87" w:rsidRPr="00906329" w:rsidRDefault="00983F87" w:rsidP="00E4567E">
      <w:pPr>
        <w:jc w:val="both"/>
      </w:pPr>
      <w:r w:rsidRPr="0003111F">
        <w:rPr>
          <w:b/>
        </w:rPr>
        <w:t>Scattered Site</w:t>
      </w:r>
      <w:r w:rsidR="00906329">
        <w:rPr>
          <w:b/>
        </w:rPr>
        <w:t xml:space="preserve"> </w:t>
      </w:r>
      <w:r w:rsidR="00906329">
        <w:t xml:space="preserve">means a housing model in which </w:t>
      </w:r>
      <w:r w:rsidR="00E4567E">
        <w:t>the housing units are not located in a single building.</w:t>
      </w:r>
    </w:p>
    <w:p w:rsidR="00983F87" w:rsidRPr="00906329" w:rsidRDefault="00906329" w:rsidP="00E4567E">
      <w:pPr>
        <w:jc w:val="both"/>
      </w:pPr>
      <w:r>
        <w:rPr>
          <w:b/>
        </w:rPr>
        <w:t xml:space="preserve">TH, </w:t>
      </w:r>
      <w:r w:rsidR="00983F87" w:rsidRPr="0003111F">
        <w:rPr>
          <w:b/>
        </w:rPr>
        <w:t>Substance Abuse target</w:t>
      </w:r>
      <w:r>
        <w:rPr>
          <w:b/>
        </w:rPr>
        <w:t xml:space="preserve"> </w:t>
      </w:r>
      <w:r>
        <w:t>means transitional housing focused on serving persons with substance abuse disorders.</w:t>
      </w:r>
    </w:p>
    <w:p w:rsidR="00983F87" w:rsidRPr="0003111F" w:rsidRDefault="00983F87" w:rsidP="00E4567E">
      <w:pPr>
        <w:jc w:val="both"/>
        <w:rPr>
          <w:b/>
        </w:rPr>
      </w:pPr>
      <w:r w:rsidRPr="0003111F">
        <w:rPr>
          <w:b/>
        </w:rPr>
        <w:t>Transitional Housing (TH)</w:t>
      </w:r>
      <w:r>
        <w:rPr>
          <w:b/>
        </w:rPr>
        <w:t xml:space="preserve"> </w:t>
      </w:r>
      <w:r w:rsidRPr="00570F67">
        <w:t>means housing, where all program participants have signed a lease or occupancy agreement, the purpose of which is to facilitate the movement of homeless individuals and families into permanent housing within 24 months or such longer period as HUD determines necessary. The program participant must have a lease or occupancy agreement for a term of at least one month that ends in 24 months and cannot be extended.</w:t>
      </w:r>
    </w:p>
    <w:p w:rsidR="00983F87" w:rsidRPr="00906329" w:rsidRDefault="00906329" w:rsidP="00E4567E">
      <w:pPr>
        <w:jc w:val="both"/>
      </w:pPr>
      <w:r>
        <w:rPr>
          <w:b/>
        </w:rPr>
        <w:t xml:space="preserve">TH, </w:t>
      </w:r>
      <w:r w:rsidR="00983F87" w:rsidRPr="0003111F">
        <w:rPr>
          <w:b/>
        </w:rPr>
        <w:t>Youth target</w:t>
      </w:r>
      <w:r>
        <w:rPr>
          <w:b/>
        </w:rPr>
        <w:t xml:space="preserve"> </w:t>
      </w:r>
      <w:r>
        <w:t>means transitional housing focused on serving youth aged up to 24.</w:t>
      </w:r>
    </w:p>
    <w:p w:rsidR="005C6834" w:rsidRPr="0003111F" w:rsidRDefault="00983F87" w:rsidP="00D72557">
      <w:pPr>
        <w:tabs>
          <w:tab w:val="left" w:pos="3150"/>
        </w:tabs>
        <w:rPr>
          <w:b/>
          <w:color w:val="FFFFFF" w:themeColor="background1"/>
        </w:rPr>
      </w:pPr>
      <w:r w:rsidRPr="0003111F">
        <w:rPr>
          <w:b/>
        </w:rPr>
        <w:t>Underserved geographic area</w:t>
      </w:r>
      <w:r w:rsidR="00D72557">
        <w:rPr>
          <w:b/>
        </w:rPr>
        <w:t xml:space="preserve"> </w:t>
      </w:r>
      <w:r w:rsidR="00D72557">
        <w:t>is an area with limited or no Continuum of Care programs.  The following chart identifies geographic areas within the Hampden County CoC, and CoC resources available in each area.  Following the chart, there are indications of the areas considered “largely underserved” and “moderately underserved”.</w:t>
      </w:r>
      <w:r w:rsidRPr="0003111F">
        <w:rPr>
          <w:b/>
        </w:rPr>
        <w:tab/>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3111F" w:rsidRPr="0003111F" w:rsidTr="0003111F">
        <w:tc>
          <w:tcPr>
            <w:tcW w:w="9576" w:type="dxa"/>
            <w:gridSpan w:val="6"/>
            <w:shd w:val="clear" w:color="auto" w:fill="1F497D" w:themeFill="text2"/>
          </w:tcPr>
          <w:p w:rsidR="00B60CEF" w:rsidRPr="0003111F" w:rsidRDefault="00B60CEF" w:rsidP="0003111F">
            <w:pPr>
              <w:shd w:val="clear" w:color="auto" w:fill="1F497D" w:themeFill="text2"/>
              <w:tabs>
                <w:tab w:val="left" w:pos="3150"/>
              </w:tabs>
              <w:rPr>
                <w:color w:val="FFFFFF" w:themeColor="background1"/>
              </w:rPr>
            </w:pPr>
            <w:r w:rsidRPr="0003111F">
              <w:rPr>
                <w:color w:val="FFFFFF" w:themeColor="background1"/>
              </w:rPr>
              <w:t>Geographic Distribution of Existing PSH, TH, SH and RRH Resources in Hampden County</w:t>
            </w:r>
          </w:p>
          <w:p w:rsidR="00B60CEF" w:rsidRPr="0003111F" w:rsidRDefault="00B60CEF" w:rsidP="0003111F">
            <w:pPr>
              <w:shd w:val="clear" w:color="auto" w:fill="1F497D" w:themeFill="text2"/>
              <w:tabs>
                <w:tab w:val="left" w:pos="3150"/>
              </w:tabs>
              <w:rPr>
                <w:color w:val="FFFFFF" w:themeColor="background1"/>
              </w:rPr>
            </w:pPr>
            <w:r w:rsidRPr="0003111F">
              <w:rPr>
                <w:color w:val="FFFFFF" w:themeColor="background1"/>
              </w:rPr>
              <w:t xml:space="preserve">As </w:t>
            </w:r>
            <w:r w:rsidRPr="0003111F">
              <w:rPr>
                <w:color w:val="FFFFFF" w:themeColor="background1"/>
                <w:shd w:val="clear" w:color="auto" w:fill="1F497D" w:themeFill="text2"/>
              </w:rPr>
              <w:t>reported</w:t>
            </w:r>
            <w:r w:rsidRPr="0003111F">
              <w:rPr>
                <w:color w:val="FFFFFF" w:themeColor="background1"/>
              </w:rPr>
              <w:t xml:space="preserve"> in January 28, 2013 Housing Inventory Report</w:t>
            </w:r>
          </w:p>
        </w:tc>
      </w:tr>
      <w:tr w:rsidR="00276DEF" w:rsidTr="0003111F">
        <w:tc>
          <w:tcPr>
            <w:tcW w:w="1596" w:type="dxa"/>
            <w:shd w:val="clear" w:color="auto" w:fill="B8CCE4" w:themeFill="accent1" w:themeFillTint="66"/>
          </w:tcPr>
          <w:p w:rsidR="00276DEF" w:rsidRDefault="00276DEF" w:rsidP="00E51B63">
            <w:pPr>
              <w:tabs>
                <w:tab w:val="left" w:pos="3150"/>
              </w:tabs>
            </w:pPr>
          </w:p>
        </w:tc>
        <w:tc>
          <w:tcPr>
            <w:tcW w:w="1596" w:type="dxa"/>
            <w:shd w:val="clear" w:color="auto" w:fill="B8CCE4" w:themeFill="accent1" w:themeFillTint="66"/>
          </w:tcPr>
          <w:p w:rsidR="00276DEF" w:rsidRDefault="00276DEF" w:rsidP="00276DEF">
            <w:pPr>
              <w:tabs>
                <w:tab w:val="left" w:pos="3150"/>
              </w:tabs>
              <w:jc w:val="center"/>
            </w:pPr>
            <w:r>
              <w:t>PSH beds/units for Individuals</w:t>
            </w:r>
          </w:p>
        </w:tc>
        <w:tc>
          <w:tcPr>
            <w:tcW w:w="1596" w:type="dxa"/>
            <w:shd w:val="clear" w:color="auto" w:fill="B8CCE4" w:themeFill="accent1" w:themeFillTint="66"/>
          </w:tcPr>
          <w:p w:rsidR="00276DEF" w:rsidRDefault="00276DEF" w:rsidP="00E51B63">
            <w:pPr>
              <w:tabs>
                <w:tab w:val="left" w:pos="3150"/>
              </w:tabs>
              <w:jc w:val="center"/>
            </w:pPr>
            <w:r>
              <w:t>TH/SH beds for Individuals</w:t>
            </w:r>
          </w:p>
        </w:tc>
        <w:tc>
          <w:tcPr>
            <w:tcW w:w="1596" w:type="dxa"/>
            <w:shd w:val="clear" w:color="auto" w:fill="B8CCE4" w:themeFill="accent1" w:themeFillTint="66"/>
          </w:tcPr>
          <w:p w:rsidR="00276DEF" w:rsidRDefault="00276DEF" w:rsidP="00E51B63">
            <w:pPr>
              <w:tabs>
                <w:tab w:val="left" w:pos="3150"/>
              </w:tabs>
            </w:pPr>
            <w:r>
              <w:t xml:space="preserve">PSH </w:t>
            </w:r>
            <w:r w:rsidR="0071711A">
              <w:t xml:space="preserve">beds </w:t>
            </w:r>
            <w:r>
              <w:t>for Families</w:t>
            </w:r>
          </w:p>
        </w:tc>
        <w:tc>
          <w:tcPr>
            <w:tcW w:w="1596" w:type="dxa"/>
            <w:shd w:val="clear" w:color="auto" w:fill="B8CCE4" w:themeFill="accent1" w:themeFillTint="66"/>
          </w:tcPr>
          <w:p w:rsidR="00276DEF" w:rsidRPr="00276DEF" w:rsidRDefault="00276DEF" w:rsidP="00276DEF">
            <w:r>
              <w:t xml:space="preserve">TH </w:t>
            </w:r>
            <w:r w:rsidR="0071711A">
              <w:t xml:space="preserve">beds </w:t>
            </w:r>
            <w:r>
              <w:t>for Families</w:t>
            </w:r>
          </w:p>
        </w:tc>
        <w:tc>
          <w:tcPr>
            <w:tcW w:w="1596" w:type="dxa"/>
            <w:shd w:val="clear" w:color="auto" w:fill="B8CCE4" w:themeFill="accent1" w:themeFillTint="66"/>
          </w:tcPr>
          <w:p w:rsidR="00276DEF" w:rsidRDefault="00276DEF" w:rsidP="00D72557">
            <w:pPr>
              <w:tabs>
                <w:tab w:val="left" w:pos="3150"/>
              </w:tabs>
            </w:pPr>
            <w:r>
              <w:t>Rapid Rehousing</w:t>
            </w:r>
          </w:p>
        </w:tc>
      </w:tr>
      <w:tr w:rsidR="00B60CEF" w:rsidTr="00E51B63">
        <w:tc>
          <w:tcPr>
            <w:tcW w:w="1596" w:type="dxa"/>
          </w:tcPr>
          <w:p w:rsidR="00B60CEF" w:rsidRDefault="00B60CEF" w:rsidP="00E51B63">
            <w:pPr>
              <w:tabs>
                <w:tab w:val="left" w:pos="3150"/>
              </w:tabs>
            </w:pPr>
            <w:r>
              <w:t>Chicopee</w:t>
            </w:r>
          </w:p>
        </w:tc>
        <w:tc>
          <w:tcPr>
            <w:tcW w:w="1596" w:type="dxa"/>
          </w:tcPr>
          <w:p w:rsidR="00B60CEF" w:rsidRDefault="00B60CEF" w:rsidP="0071711A">
            <w:pPr>
              <w:tabs>
                <w:tab w:val="left" w:pos="3150"/>
              </w:tabs>
              <w:jc w:val="center"/>
            </w:pPr>
            <w:r>
              <w:t>15</w:t>
            </w:r>
          </w:p>
        </w:tc>
        <w:tc>
          <w:tcPr>
            <w:tcW w:w="1596" w:type="dxa"/>
          </w:tcPr>
          <w:p w:rsidR="00B60CEF" w:rsidRDefault="00B60CEF" w:rsidP="0071711A">
            <w:pPr>
              <w:tabs>
                <w:tab w:val="left" w:pos="3150"/>
              </w:tabs>
              <w:jc w:val="center"/>
            </w:pPr>
            <w:r>
              <w:t>0</w:t>
            </w:r>
          </w:p>
        </w:tc>
        <w:tc>
          <w:tcPr>
            <w:tcW w:w="1596" w:type="dxa"/>
          </w:tcPr>
          <w:p w:rsidR="00B60CEF" w:rsidRDefault="0071711A" w:rsidP="0071711A">
            <w:pPr>
              <w:tabs>
                <w:tab w:val="left" w:pos="3150"/>
              </w:tabs>
              <w:jc w:val="center"/>
            </w:pPr>
            <w:r>
              <w:t>8</w:t>
            </w:r>
          </w:p>
        </w:tc>
        <w:tc>
          <w:tcPr>
            <w:tcW w:w="1596" w:type="dxa"/>
          </w:tcPr>
          <w:p w:rsidR="00B60CEF" w:rsidRDefault="0071711A" w:rsidP="0071711A">
            <w:pPr>
              <w:tabs>
                <w:tab w:val="left" w:pos="3150"/>
              </w:tabs>
              <w:jc w:val="center"/>
            </w:pPr>
            <w:r>
              <w:t>0</w:t>
            </w:r>
          </w:p>
        </w:tc>
        <w:tc>
          <w:tcPr>
            <w:tcW w:w="1596" w:type="dxa"/>
            <w:vMerge w:val="restart"/>
          </w:tcPr>
          <w:p w:rsidR="00B60CEF" w:rsidRDefault="00B60CEF" w:rsidP="00E51B63">
            <w:pPr>
              <w:tabs>
                <w:tab w:val="left" w:pos="3150"/>
              </w:tabs>
            </w:pPr>
            <w:r>
              <w:t>Single provider serves the region</w:t>
            </w:r>
          </w:p>
        </w:tc>
      </w:tr>
      <w:tr w:rsidR="00B60CEF" w:rsidTr="00E51B63">
        <w:tc>
          <w:tcPr>
            <w:tcW w:w="1596" w:type="dxa"/>
          </w:tcPr>
          <w:p w:rsidR="00B60CEF" w:rsidRDefault="00B60CEF" w:rsidP="00E51B63">
            <w:pPr>
              <w:tabs>
                <w:tab w:val="left" w:pos="3150"/>
              </w:tabs>
            </w:pPr>
            <w:r>
              <w:t>Holyoke</w:t>
            </w:r>
          </w:p>
        </w:tc>
        <w:tc>
          <w:tcPr>
            <w:tcW w:w="1596" w:type="dxa"/>
          </w:tcPr>
          <w:p w:rsidR="00B60CEF" w:rsidRDefault="00B60CEF" w:rsidP="0071711A">
            <w:pPr>
              <w:tabs>
                <w:tab w:val="left" w:pos="3150"/>
              </w:tabs>
              <w:jc w:val="center"/>
            </w:pPr>
            <w:r>
              <w:t>33</w:t>
            </w:r>
          </w:p>
        </w:tc>
        <w:tc>
          <w:tcPr>
            <w:tcW w:w="1596" w:type="dxa"/>
          </w:tcPr>
          <w:p w:rsidR="00B60CEF" w:rsidRDefault="00B60CEF" w:rsidP="0071711A">
            <w:pPr>
              <w:tabs>
                <w:tab w:val="left" w:pos="3150"/>
              </w:tabs>
              <w:jc w:val="center"/>
            </w:pPr>
            <w:r>
              <w:t>21</w:t>
            </w:r>
          </w:p>
        </w:tc>
        <w:tc>
          <w:tcPr>
            <w:tcW w:w="1596" w:type="dxa"/>
          </w:tcPr>
          <w:p w:rsidR="00B60CEF" w:rsidRDefault="0071711A" w:rsidP="0071711A">
            <w:pPr>
              <w:tabs>
                <w:tab w:val="left" w:pos="3150"/>
              </w:tabs>
              <w:jc w:val="center"/>
            </w:pPr>
            <w:r>
              <w:t>4</w:t>
            </w:r>
          </w:p>
        </w:tc>
        <w:tc>
          <w:tcPr>
            <w:tcW w:w="1596" w:type="dxa"/>
          </w:tcPr>
          <w:p w:rsidR="00B60CEF" w:rsidRDefault="0071711A" w:rsidP="0071711A">
            <w:pPr>
              <w:tabs>
                <w:tab w:val="left" w:pos="3150"/>
              </w:tabs>
              <w:jc w:val="center"/>
            </w:pPr>
            <w:r>
              <w:t>21</w:t>
            </w:r>
          </w:p>
        </w:tc>
        <w:tc>
          <w:tcPr>
            <w:tcW w:w="1596" w:type="dxa"/>
            <w:vMerge/>
          </w:tcPr>
          <w:p w:rsidR="00B60CEF" w:rsidRDefault="00B60CEF" w:rsidP="00E51B63">
            <w:pPr>
              <w:tabs>
                <w:tab w:val="left" w:pos="3150"/>
              </w:tabs>
            </w:pPr>
          </w:p>
        </w:tc>
      </w:tr>
      <w:tr w:rsidR="00B60CEF" w:rsidTr="00E51B63">
        <w:tc>
          <w:tcPr>
            <w:tcW w:w="1596" w:type="dxa"/>
          </w:tcPr>
          <w:p w:rsidR="00B60CEF" w:rsidRDefault="00B60CEF" w:rsidP="00E51B63">
            <w:pPr>
              <w:tabs>
                <w:tab w:val="left" w:pos="3150"/>
              </w:tabs>
            </w:pPr>
            <w:r>
              <w:t>Springfield</w:t>
            </w:r>
          </w:p>
        </w:tc>
        <w:tc>
          <w:tcPr>
            <w:tcW w:w="1596" w:type="dxa"/>
          </w:tcPr>
          <w:p w:rsidR="00B60CEF" w:rsidRDefault="00B60CEF" w:rsidP="0071711A">
            <w:pPr>
              <w:tabs>
                <w:tab w:val="left" w:pos="3150"/>
              </w:tabs>
              <w:jc w:val="center"/>
            </w:pPr>
            <w:r>
              <w:t>380</w:t>
            </w:r>
          </w:p>
        </w:tc>
        <w:tc>
          <w:tcPr>
            <w:tcW w:w="1596" w:type="dxa"/>
          </w:tcPr>
          <w:p w:rsidR="00B60CEF" w:rsidRDefault="00B60CEF" w:rsidP="0071711A">
            <w:pPr>
              <w:tabs>
                <w:tab w:val="left" w:pos="3150"/>
              </w:tabs>
              <w:jc w:val="center"/>
            </w:pPr>
            <w:r>
              <w:t>85</w:t>
            </w:r>
          </w:p>
        </w:tc>
        <w:tc>
          <w:tcPr>
            <w:tcW w:w="1596" w:type="dxa"/>
          </w:tcPr>
          <w:p w:rsidR="00B60CEF" w:rsidRDefault="0071711A" w:rsidP="0071711A">
            <w:pPr>
              <w:tabs>
                <w:tab w:val="left" w:pos="3150"/>
              </w:tabs>
              <w:jc w:val="center"/>
            </w:pPr>
            <w:r>
              <w:t>229</w:t>
            </w:r>
          </w:p>
        </w:tc>
        <w:tc>
          <w:tcPr>
            <w:tcW w:w="1596" w:type="dxa"/>
          </w:tcPr>
          <w:p w:rsidR="00B60CEF" w:rsidRDefault="0071711A" w:rsidP="0071711A">
            <w:pPr>
              <w:tabs>
                <w:tab w:val="left" w:pos="3150"/>
              </w:tabs>
              <w:jc w:val="center"/>
            </w:pPr>
            <w:r>
              <w:t>95</w:t>
            </w:r>
          </w:p>
        </w:tc>
        <w:tc>
          <w:tcPr>
            <w:tcW w:w="1596" w:type="dxa"/>
            <w:vMerge/>
          </w:tcPr>
          <w:p w:rsidR="00B60CEF" w:rsidRDefault="00B60CEF" w:rsidP="00E51B63">
            <w:pPr>
              <w:tabs>
                <w:tab w:val="left" w:pos="3150"/>
              </w:tabs>
            </w:pPr>
          </w:p>
        </w:tc>
      </w:tr>
      <w:tr w:rsidR="00B60CEF" w:rsidTr="00E51B63">
        <w:tc>
          <w:tcPr>
            <w:tcW w:w="1596" w:type="dxa"/>
          </w:tcPr>
          <w:p w:rsidR="00B60CEF" w:rsidRDefault="00B60CEF" w:rsidP="00E51B63">
            <w:pPr>
              <w:tabs>
                <w:tab w:val="left" w:pos="3150"/>
              </w:tabs>
            </w:pPr>
            <w:r>
              <w:t>Westfield</w:t>
            </w:r>
          </w:p>
        </w:tc>
        <w:tc>
          <w:tcPr>
            <w:tcW w:w="1596" w:type="dxa"/>
          </w:tcPr>
          <w:p w:rsidR="00B60CEF" w:rsidRDefault="00B60CEF" w:rsidP="0071711A">
            <w:pPr>
              <w:tabs>
                <w:tab w:val="left" w:pos="3150"/>
              </w:tabs>
              <w:jc w:val="center"/>
            </w:pPr>
            <w:r>
              <w:t>43</w:t>
            </w:r>
          </w:p>
        </w:tc>
        <w:tc>
          <w:tcPr>
            <w:tcW w:w="1596" w:type="dxa"/>
          </w:tcPr>
          <w:p w:rsidR="00B60CEF" w:rsidRDefault="00B60CEF" w:rsidP="0071711A">
            <w:pPr>
              <w:tabs>
                <w:tab w:val="left" w:pos="3150"/>
              </w:tabs>
              <w:jc w:val="center"/>
            </w:pPr>
            <w:r>
              <w:t>10</w:t>
            </w:r>
          </w:p>
        </w:tc>
        <w:tc>
          <w:tcPr>
            <w:tcW w:w="1596" w:type="dxa"/>
          </w:tcPr>
          <w:p w:rsidR="00B60CEF" w:rsidRDefault="0071711A" w:rsidP="0071711A">
            <w:pPr>
              <w:tabs>
                <w:tab w:val="left" w:pos="3150"/>
              </w:tabs>
              <w:jc w:val="center"/>
            </w:pPr>
            <w:r>
              <w:t>4</w:t>
            </w:r>
          </w:p>
        </w:tc>
        <w:tc>
          <w:tcPr>
            <w:tcW w:w="1596" w:type="dxa"/>
          </w:tcPr>
          <w:p w:rsidR="00B60CEF" w:rsidRDefault="0071711A" w:rsidP="0071711A">
            <w:pPr>
              <w:tabs>
                <w:tab w:val="left" w:pos="3150"/>
              </w:tabs>
              <w:jc w:val="center"/>
            </w:pPr>
            <w:r>
              <w:t>10</w:t>
            </w:r>
          </w:p>
        </w:tc>
        <w:tc>
          <w:tcPr>
            <w:tcW w:w="1596" w:type="dxa"/>
            <w:vMerge/>
          </w:tcPr>
          <w:p w:rsidR="00B60CEF" w:rsidRDefault="00B60CEF" w:rsidP="00E51B63">
            <w:pPr>
              <w:tabs>
                <w:tab w:val="left" w:pos="3150"/>
              </w:tabs>
            </w:pPr>
          </w:p>
        </w:tc>
      </w:tr>
      <w:tr w:rsidR="00B60CEF" w:rsidTr="0071711A">
        <w:tc>
          <w:tcPr>
            <w:tcW w:w="1596" w:type="dxa"/>
          </w:tcPr>
          <w:p w:rsidR="00B60CEF" w:rsidRDefault="00B60CEF" w:rsidP="00E51B63">
            <w:pPr>
              <w:tabs>
                <w:tab w:val="left" w:pos="3150"/>
              </w:tabs>
            </w:pPr>
            <w:r>
              <w:t xml:space="preserve">Remainder of Hampden </w:t>
            </w:r>
            <w:r w:rsidR="00D72557">
              <w:t>Co.</w:t>
            </w:r>
          </w:p>
        </w:tc>
        <w:tc>
          <w:tcPr>
            <w:tcW w:w="1596" w:type="dxa"/>
          </w:tcPr>
          <w:p w:rsidR="00B60CEF" w:rsidRDefault="00B60CEF" w:rsidP="0071711A">
            <w:pPr>
              <w:tabs>
                <w:tab w:val="left" w:pos="3150"/>
              </w:tabs>
              <w:jc w:val="center"/>
            </w:pPr>
            <w:r>
              <w:t>17</w:t>
            </w:r>
          </w:p>
        </w:tc>
        <w:tc>
          <w:tcPr>
            <w:tcW w:w="1596" w:type="dxa"/>
          </w:tcPr>
          <w:p w:rsidR="00B60CEF" w:rsidRPr="00377B49" w:rsidRDefault="00B60CEF" w:rsidP="0071711A">
            <w:pPr>
              <w:tabs>
                <w:tab w:val="left" w:pos="1230"/>
              </w:tabs>
              <w:jc w:val="center"/>
            </w:pPr>
            <w:r>
              <w:t>9</w:t>
            </w:r>
          </w:p>
        </w:tc>
        <w:tc>
          <w:tcPr>
            <w:tcW w:w="1596" w:type="dxa"/>
          </w:tcPr>
          <w:p w:rsidR="00B60CEF" w:rsidRDefault="0071711A" w:rsidP="0071711A">
            <w:pPr>
              <w:tabs>
                <w:tab w:val="left" w:pos="3150"/>
              </w:tabs>
              <w:jc w:val="center"/>
            </w:pPr>
            <w:r>
              <w:t>5</w:t>
            </w:r>
          </w:p>
        </w:tc>
        <w:tc>
          <w:tcPr>
            <w:tcW w:w="1596" w:type="dxa"/>
          </w:tcPr>
          <w:p w:rsidR="00B60CEF" w:rsidRDefault="0071711A" w:rsidP="0071711A">
            <w:pPr>
              <w:tabs>
                <w:tab w:val="left" w:pos="3150"/>
              </w:tabs>
              <w:jc w:val="center"/>
            </w:pPr>
            <w:r>
              <w:t>0</w:t>
            </w:r>
          </w:p>
        </w:tc>
        <w:tc>
          <w:tcPr>
            <w:tcW w:w="1596" w:type="dxa"/>
            <w:vMerge/>
          </w:tcPr>
          <w:p w:rsidR="00B60CEF" w:rsidRDefault="00B60CEF" w:rsidP="00E51B63">
            <w:pPr>
              <w:tabs>
                <w:tab w:val="left" w:pos="3150"/>
              </w:tabs>
            </w:pPr>
          </w:p>
        </w:tc>
      </w:tr>
    </w:tbl>
    <w:p w:rsidR="005C6834" w:rsidRDefault="005C6834" w:rsidP="00595C47">
      <w:pPr>
        <w:spacing w:after="0"/>
        <w:rPr>
          <w:b/>
          <w:color w:val="1F497D" w:themeColor="text2"/>
        </w:rPr>
      </w:pPr>
    </w:p>
    <w:p w:rsidR="005C6834" w:rsidRPr="00405716" w:rsidRDefault="00405716" w:rsidP="00595C47">
      <w:pPr>
        <w:spacing w:after="0"/>
      </w:pPr>
      <w:r w:rsidRPr="0003111F">
        <w:rPr>
          <w:b/>
        </w:rPr>
        <w:t>Largely underserved</w:t>
      </w:r>
      <w:r w:rsidRPr="00405716">
        <w:t>: Hampden County outside cities of Springfield, Chicopee, Holyoke, Westfield</w:t>
      </w:r>
    </w:p>
    <w:p w:rsidR="005C6834" w:rsidRDefault="00405716" w:rsidP="00595C47">
      <w:pPr>
        <w:spacing w:after="0"/>
        <w:rPr>
          <w:b/>
          <w:color w:val="1F497D" w:themeColor="text2"/>
        </w:rPr>
      </w:pPr>
      <w:r w:rsidRPr="0003111F">
        <w:rPr>
          <w:b/>
        </w:rPr>
        <w:t>Moderately underserved</w:t>
      </w:r>
      <w:r w:rsidRPr="00405716">
        <w:t>: Chicopee, Holyoke, Westfield</w:t>
      </w:r>
    </w:p>
    <w:sectPr w:rsidR="005C6834" w:rsidSect="005770E1">
      <w:footerReference w:type="defaul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BF" w:rsidRDefault="006E3ABF" w:rsidP="004456C6">
      <w:pPr>
        <w:spacing w:after="0" w:line="240" w:lineRule="auto"/>
      </w:pPr>
      <w:r>
        <w:separator/>
      </w:r>
    </w:p>
  </w:endnote>
  <w:endnote w:type="continuationSeparator" w:id="0">
    <w:p w:rsidR="006E3ABF" w:rsidRDefault="006E3ABF" w:rsidP="0044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360536"/>
      <w:docPartObj>
        <w:docPartGallery w:val="Page Numbers (Bottom of Page)"/>
        <w:docPartUnique/>
      </w:docPartObj>
    </w:sdtPr>
    <w:sdtEndPr>
      <w:rPr>
        <w:noProof/>
      </w:rPr>
    </w:sdtEndPr>
    <w:sdtContent>
      <w:p w:rsidR="006E3ABF" w:rsidRDefault="006E3ABF">
        <w:pPr>
          <w:pStyle w:val="Footer"/>
          <w:jc w:val="center"/>
        </w:pPr>
        <w:r>
          <w:fldChar w:fldCharType="begin"/>
        </w:r>
        <w:r>
          <w:instrText xml:space="preserve"> PAGE   \* MERGEFORMAT </w:instrText>
        </w:r>
        <w:r>
          <w:fldChar w:fldCharType="separate"/>
        </w:r>
        <w:r w:rsidR="00954AB0">
          <w:rPr>
            <w:noProof/>
          </w:rPr>
          <w:t>2</w:t>
        </w:r>
        <w:r>
          <w:rPr>
            <w:noProof/>
          </w:rPr>
          <w:fldChar w:fldCharType="end"/>
        </w:r>
      </w:p>
    </w:sdtContent>
  </w:sdt>
  <w:p w:rsidR="006E3ABF" w:rsidRDefault="006E3A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024641"/>
      <w:docPartObj>
        <w:docPartGallery w:val="Page Numbers (Bottom of Page)"/>
        <w:docPartUnique/>
      </w:docPartObj>
    </w:sdtPr>
    <w:sdtEndPr>
      <w:rPr>
        <w:noProof/>
      </w:rPr>
    </w:sdtEndPr>
    <w:sdtContent>
      <w:p w:rsidR="006E3ABF" w:rsidRDefault="006E3ABF">
        <w:pPr>
          <w:pStyle w:val="Footer"/>
          <w:jc w:val="center"/>
        </w:pPr>
        <w:r>
          <w:fldChar w:fldCharType="begin"/>
        </w:r>
        <w:r>
          <w:instrText xml:space="preserve"> PAGE   \* MERGEFORMAT </w:instrText>
        </w:r>
        <w:r>
          <w:fldChar w:fldCharType="separate"/>
        </w:r>
        <w:r w:rsidR="00954AB0">
          <w:rPr>
            <w:noProof/>
          </w:rPr>
          <w:t>1</w:t>
        </w:r>
        <w:r>
          <w:rPr>
            <w:noProof/>
          </w:rPr>
          <w:fldChar w:fldCharType="end"/>
        </w:r>
      </w:p>
    </w:sdtContent>
  </w:sdt>
  <w:p w:rsidR="006E3ABF" w:rsidRDefault="006E3A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634427"/>
      <w:docPartObj>
        <w:docPartGallery w:val="Page Numbers (Bottom of Page)"/>
        <w:docPartUnique/>
      </w:docPartObj>
    </w:sdtPr>
    <w:sdtEndPr>
      <w:rPr>
        <w:noProof/>
      </w:rPr>
    </w:sdtEndPr>
    <w:sdtContent>
      <w:p w:rsidR="006E3ABF" w:rsidRDefault="006E3ABF">
        <w:pPr>
          <w:pStyle w:val="Footer"/>
          <w:jc w:val="center"/>
        </w:pPr>
        <w:r>
          <w:fldChar w:fldCharType="begin"/>
        </w:r>
        <w:r>
          <w:instrText xml:space="preserve"> PAGE   \* MERGEFORMAT </w:instrText>
        </w:r>
        <w:r>
          <w:fldChar w:fldCharType="separate"/>
        </w:r>
        <w:r w:rsidR="00954AB0">
          <w:rPr>
            <w:noProof/>
          </w:rPr>
          <w:t>5</w:t>
        </w:r>
        <w:r>
          <w:rPr>
            <w:noProof/>
          </w:rPr>
          <w:fldChar w:fldCharType="end"/>
        </w:r>
      </w:p>
    </w:sdtContent>
  </w:sdt>
  <w:p w:rsidR="006E3ABF" w:rsidRDefault="006E3A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41995"/>
      <w:docPartObj>
        <w:docPartGallery w:val="Page Numbers (Bottom of Page)"/>
        <w:docPartUnique/>
      </w:docPartObj>
    </w:sdtPr>
    <w:sdtEndPr>
      <w:rPr>
        <w:noProof/>
      </w:rPr>
    </w:sdtEndPr>
    <w:sdtContent>
      <w:p w:rsidR="006E3ABF" w:rsidRDefault="006E3ABF">
        <w:pPr>
          <w:pStyle w:val="Footer"/>
          <w:jc w:val="center"/>
        </w:pPr>
        <w:r>
          <w:fldChar w:fldCharType="begin"/>
        </w:r>
        <w:r>
          <w:instrText xml:space="preserve"> PAGE   \* MERGEFORMAT </w:instrText>
        </w:r>
        <w:r>
          <w:fldChar w:fldCharType="separate"/>
        </w:r>
        <w:r w:rsidR="00303E57">
          <w:rPr>
            <w:noProof/>
          </w:rPr>
          <w:t>7</w:t>
        </w:r>
        <w:r>
          <w:rPr>
            <w:noProof/>
          </w:rPr>
          <w:fldChar w:fldCharType="end"/>
        </w:r>
      </w:p>
    </w:sdtContent>
  </w:sdt>
  <w:p w:rsidR="006E3ABF" w:rsidRDefault="006E3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BF" w:rsidRDefault="006E3ABF" w:rsidP="004456C6">
      <w:pPr>
        <w:spacing w:after="0" w:line="240" w:lineRule="auto"/>
      </w:pPr>
      <w:r>
        <w:separator/>
      </w:r>
    </w:p>
  </w:footnote>
  <w:footnote w:type="continuationSeparator" w:id="0">
    <w:p w:rsidR="006E3ABF" w:rsidRDefault="006E3ABF" w:rsidP="00445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BF" w:rsidRDefault="006E3A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BF" w:rsidRDefault="006E3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05A"/>
    <w:multiLevelType w:val="hybridMultilevel"/>
    <w:tmpl w:val="482E6E60"/>
    <w:lvl w:ilvl="0" w:tplc="04090001">
      <w:start w:val="1"/>
      <w:numFmt w:val="bullet"/>
      <w:lvlText w:val=""/>
      <w:lvlJc w:val="left"/>
      <w:pPr>
        <w:tabs>
          <w:tab w:val="num" w:pos="2520"/>
        </w:tabs>
        <w:ind w:left="2520" w:hanging="360"/>
      </w:pPr>
      <w:rPr>
        <w:rFonts w:ascii="Symbol" w:hAnsi="Symbol" w:hint="default"/>
      </w:rPr>
    </w:lvl>
    <w:lvl w:ilvl="1" w:tplc="04090019">
      <w:start w:val="1"/>
      <w:numFmt w:val="lowerLetter"/>
      <w:lvlText w:val="%2."/>
      <w:lvlJc w:val="left"/>
      <w:pPr>
        <w:tabs>
          <w:tab w:val="num" w:pos="3240"/>
        </w:tabs>
        <w:ind w:left="3240" w:hanging="360"/>
      </w:pPr>
      <w:rPr>
        <w:rFonts w:hint="default"/>
      </w:rPr>
    </w:lvl>
    <w:lvl w:ilvl="2" w:tplc="C4489ECC">
      <w:start w:val="1"/>
      <w:numFmt w:val="lowerRoman"/>
      <w:lvlText w:val="(%3)"/>
      <w:lvlJc w:val="left"/>
      <w:pPr>
        <w:ind w:left="4320" w:hanging="720"/>
      </w:pPr>
      <w:rPr>
        <w:rFont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CB239FD"/>
    <w:multiLevelType w:val="hybridMultilevel"/>
    <w:tmpl w:val="C0C0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A671A"/>
    <w:multiLevelType w:val="hybridMultilevel"/>
    <w:tmpl w:val="2CDC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30DFD"/>
    <w:multiLevelType w:val="hybridMultilevel"/>
    <w:tmpl w:val="8FA0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F6E88"/>
    <w:multiLevelType w:val="hybridMultilevel"/>
    <w:tmpl w:val="382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C29B5"/>
    <w:multiLevelType w:val="hybridMultilevel"/>
    <w:tmpl w:val="995831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31025F0A"/>
    <w:multiLevelType w:val="hybridMultilevel"/>
    <w:tmpl w:val="B0C0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4347B"/>
    <w:multiLevelType w:val="hybridMultilevel"/>
    <w:tmpl w:val="2C4006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47663F8"/>
    <w:multiLevelType w:val="hybridMultilevel"/>
    <w:tmpl w:val="F3826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DC62E3"/>
    <w:multiLevelType w:val="hybridMultilevel"/>
    <w:tmpl w:val="DB2EE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363B77"/>
    <w:multiLevelType w:val="hybridMultilevel"/>
    <w:tmpl w:val="147A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85A86"/>
    <w:multiLevelType w:val="hybridMultilevel"/>
    <w:tmpl w:val="02F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7F4829"/>
    <w:multiLevelType w:val="hybridMultilevel"/>
    <w:tmpl w:val="FE8E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760427"/>
    <w:multiLevelType w:val="hybridMultilevel"/>
    <w:tmpl w:val="5290B53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5138F4"/>
    <w:multiLevelType w:val="hybridMultilevel"/>
    <w:tmpl w:val="3126CA94"/>
    <w:lvl w:ilvl="0" w:tplc="01F8F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5065AE"/>
    <w:multiLevelType w:val="hybridMultilevel"/>
    <w:tmpl w:val="54302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3F5747"/>
    <w:multiLevelType w:val="hybridMultilevel"/>
    <w:tmpl w:val="ED7070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70460E66"/>
    <w:multiLevelType w:val="hybridMultilevel"/>
    <w:tmpl w:val="32FC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852668"/>
    <w:multiLevelType w:val="hybridMultilevel"/>
    <w:tmpl w:val="51BAB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B111300"/>
    <w:multiLevelType w:val="hybridMultilevel"/>
    <w:tmpl w:val="23527A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7B2E63EF"/>
    <w:multiLevelType w:val="hybridMultilevel"/>
    <w:tmpl w:val="65CA4B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2"/>
  </w:num>
  <w:num w:numId="2">
    <w:abstractNumId w:val="14"/>
  </w:num>
  <w:num w:numId="3">
    <w:abstractNumId w:val="10"/>
  </w:num>
  <w:num w:numId="4">
    <w:abstractNumId w:val="3"/>
  </w:num>
  <w:num w:numId="5">
    <w:abstractNumId w:val="2"/>
  </w:num>
  <w:num w:numId="6">
    <w:abstractNumId w:val="15"/>
  </w:num>
  <w:num w:numId="7">
    <w:abstractNumId w:val="9"/>
  </w:num>
  <w:num w:numId="8">
    <w:abstractNumId w:val="7"/>
  </w:num>
  <w:num w:numId="9">
    <w:abstractNumId w:val="18"/>
  </w:num>
  <w:num w:numId="10">
    <w:abstractNumId w:val="5"/>
  </w:num>
  <w:num w:numId="11">
    <w:abstractNumId w:val="11"/>
  </w:num>
  <w:num w:numId="12">
    <w:abstractNumId w:val="6"/>
  </w:num>
  <w:num w:numId="13">
    <w:abstractNumId w:val="1"/>
  </w:num>
  <w:num w:numId="14">
    <w:abstractNumId w:val="4"/>
  </w:num>
  <w:num w:numId="15">
    <w:abstractNumId w:val="0"/>
  </w:num>
  <w:num w:numId="16">
    <w:abstractNumId w:val="8"/>
  </w:num>
  <w:num w:numId="17">
    <w:abstractNumId w:val="19"/>
  </w:num>
  <w:num w:numId="18">
    <w:abstractNumId w:val="16"/>
  </w:num>
  <w:num w:numId="19">
    <w:abstractNumId w:val="20"/>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C6"/>
    <w:rsid w:val="000073B5"/>
    <w:rsid w:val="00013A81"/>
    <w:rsid w:val="00014C74"/>
    <w:rsid w:val="0003111F"/>
    <w:rsid w:val="00044437"/>
    <w:rsid w:val="00046F34"/>
    <w:rsid w:val="00072FBC"/>
    <w:rsid w:val="000823AC"/>
    <w:rsid w:val="00084D3B"/>
    <w:rsid w:val="00096A89"/>
    <w:rsid w:val="000B731C"/>
    <w:rsid w:val="000D3706"/>
    <w:rsid w:val="000F10B3"/>
    <w:rsid w:val="000F756B"/>
    <w:rsid w:val="000F7BDE"/>
    <w:rsid w:val="001037DC"/>
    <w:rsid w:val="00120C23"/>
    <w:rsid w:val="001241CC"/>
    <w:rsid w:val="00134575"/>
    <w:rsid w:val="001D29E2"/>
    <w:rsid w:val="001E1FD4"/>
    <w:rsid w:val="001E256E"/>
    <w:rsid w:val="001E423F"/>
    <w:rsid w:val="001F15F8"/>
    <w:rsid w:val="001F5234"/>
    <w:rsid w:val="0020242D"/>
    <w:rsid w:val="00207BCE"/>
    <w:rsid w:val="00216E44"/>
    <w:rsid w:val="002452C9"/>
    <w:rsid w:val="00246FA0"/>
    <w:rsid w:val="002665B6"/>
    <w:rsid w:val="00276DEF"/>
    <w:rsid w:val="00291061"/>
    <w:rsid w:val="002D513D"/>
    <w:rsid w:val="002F6A6D"/>
    <w:rsid w:val="002F781A"/>
    <w:rsid w:val="0030265E"/>
    <w:rsid w:val="00303E57"/>
    <w:rsid w:val="00310956"/>
    <w:rsid w:val="0031567E"/>
    <w:rsid w:val="00322363"/>
    <w:rsid w:val="0036175D"/>
    <w:rsid w:val="0036624F"/>
    <w:rsid w:val="00372B01"/>
    <w:rsid w:val="00375966"/>
    <w:rsid w:val="00377B49"/>
    <w:rsid w:val="00387574"/>
    <w:rsid w:val="003C6190"/>
    <w:rsid w:val="003C6E50"/>
    <w:rsid w:val="003E0019"/>
    <w:rsid w:val="00405716"/>
    <w:rsid w:val="0041381C"/>
    <w:rsid w:val="004456C6"/>
    <w:rsid w:val="00471539"/>
    <w:rsid w:val="0048644A"/>
    <w:rsid w:val="004872CE"/>
    <w:rsid w:val="004B4B9C"/>
    <w:rsid w:val="004D2270"/>
    <w:rsid w:val="004E3CF3"/>
    <w:rsid w:val="004E4CFF"/>
    <w:rsid w:val="004E7DB4"/>
    <w:rsid w:val="004F1F22"/>
    <w:rsid w:val="005179EC"/>
    <w:rsid w:val="00525E0F"/>
    <w:rsid w:val="00526B38"/>
    <w:rsid w:val="005456FF"/>
    <w:rsid w:val="00546188"/>
    <w:rsid w:val="00561A62"/>
    <w:rsid w:val="00570F67"/>
    <w:rsid w:val="0057423C"/>
    <w:rsid w:val="005770E1"/>
    <w:rsid w:val="00580FE6"/>
    <w:rsid w:val="00595C47"/>
    <w:rsid w:val="005A4680"/>
    <w:rsid w:val="005C06F5"/>
    <w:rsid w:val="005C6834"/>
    <w:rsid w:val="005F287B"/>
    <w:rsid w:val="006137D7"/>
    <w:rsid w:val="006313D4"/>
    <w:rsid w:val="00662295"/>
    <w:rsid w:val="0069200E"/>
    <w:rsid w:val="0069780C"/>
    <w:rsid w:val="006A3338"/>
    <w:rsid w:val="006D2CD1"/>
    <w:rsid w:val="006E3ABF"/>
    <w:rsid w:val="00700ED4"/>
    <w:rsid w:val="0071711A"/>
    <w:rsid w:val="0072103B"/>
    <w:rsid w:val="007545F8"/>
    <w:rsid w:val="0075647D"/>
    <w:rsid w:val="007808A8"/>
    <w:rsid w:val="007A0306"/>
    <w:rsid w:val="007F6870"/>
    <w:rsid w:val="008166EA"/>
    <w:rsid w:val="00821073"/>
    <w:rsid w:val="00826232"/>
    <w:rsid w:val="00846165"/>
    <w:rsid w:val="008869E0"/>
    <w:rsid w:val="008B6CE9"/>
    <w:rsid w:val="008C397C"/>
    <w:rsid w:val="008D42A8"/>
    <w:rsid w:val="00906329"/>
    <w:rsid w:val="00921CCB"/>
    <w:rsid w:val="0092603A"/>
    <w:rsid w:val="00932B78"/>
    <w:rsid w:val="00946097"/>
    <w:rsid w:val="00954AB0"/>
    <w:rsid w:val="009567C7"/>
    <w:rsid w:val="00970230"/>
    <w:rsid w:val="00983548"/>
    <w:rsid w:val="00983F87"/>
    <w:rsid w:val="00996EB1"/>
    <w:rsid w:val="009A5C14"/>
    <w:rsid w:val="009A60C3"/>
    <w:rsid w:val="009E0147"/>
    <w:rsid w:val="00A12444"/>
    <w:rsid w:val="00A21D2C"/>
    <w:rsid w:val="00A24BAB"/>
    <w:rsid w:val="00A57786"/>
    <w:rsid w:val="00A61EF4"/>
    <w:rsid w:val="00A63786"/>
    <w:rsid w:val="00A63D8B"/>
    <w:rsid w:val="00AB391A"/>
    <w:rsid w:val="00AE05DB"/>
    <w:rsid w:val="00B33EA0"/>
    <w:rsid w:val="00B60CEF"/>
    <w:rsid w:val="00B83128"/>
    <w:rsid w:val="00B8314A"/>
    <w:rsid w:val="00BE4303"/>
    <w:rsid w:val="00C10350"/>
    <w:rsid w:val="00C20588"/>
    <w:rsid w:val="00C4270D"/>
    <w:rsid w:val="00C562DC"/>
    <w:rsid w:val="00C71222"/>
    <w:rsid w:val="00C906F4"/>
    <w:rsid w:val="00C940D5"/>
    <w:rsid w:val="00CA4BFD"/>
    <w:rsid w:val="00CB752E"/>
    <w:rsid w:val="00D159BB"/>
    <w:rsid w:val="00D2432E"/>
    <w:rsid w:val="00D27C88"/>
    <w:rsid w:val="00D311CA"/>
    <w:rsid w:val="00D32427"/>
    <w:rsid w:val="00D61A80"/>
    <w:rsid w:val="00D72557"/>
    <w:rsid w:val="00D86970"/>
    <w:rsid w:val="00D873CC"/>
    <w:rsid w:val="00D93C4B"/>
    <w:rsid w:val="00D9657D"/>
    <w:rsid w:val="00D97140"/>
    <w:rsid w:val="00DB4131"/>
    <w:rsid w:val="00DE3051"/>
    <w:rsid w:val="00DE7CDF"/>
    <w:rsid w:val="00DF0CA9"/>
    <w:rsid w:val="00DF3C59"/>
    <w:rsid w:val="00E11F68"/>
    <w:rsid w:val="00E24155"/>
    <w:rsid w:val="00E33872"/>
    <w:rsid w:val="00E35DA4"/>
    <w:rsid w:val="00E4567E"/>
    <w:rsid w:val="00E51B63"/>
    <w:rsid w:val="00E66FB6"/>
    <w:rsid w:val="00E77B7E"/>
    <w:rsid w:val="00EC7EF0"/>
    <w:rsid w:val="00ED469F"/>
    <w:rsid w:val="00ED5B14"/>
    <w:rsid w:val="00F441D2"/>
    <w:rsid w:val="00F7292B"/>
    <w:rsid w:val="00FB3115"/>
    <w:rsid w:val="00FB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D4"/>
  </w:style>
  <w:style w:type="paragraph" w:styleId="Heading1">
    <w:name w:val="heading 1"/>
    <w:basedOn w:val="Normal"/>
    <w:next w:val="Normal"/>
    <w:link w:val="Heading1Char"/>
    <w:uiPriority w:val="9"/>
    <w:qFormat/>
    <w:rsid w:val="001E1F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F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1F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F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1F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1FD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E1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1FD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E1F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1FD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E1FD4"/>
    <w:pPr>
      <w:spacing w:after="0" w:line="240" w:lineRule="auto"/>
    </w:pPr>
    <w:rPr>
      <w:sz w:val="24"/>
    </w:rPr>
  </w:style>
  <w:style w:type="paragraph" w:styleId="ListParagraph">
    <w:name w:val="List Paragraph"/>
    <w:basedOn w:val="Normal"/>
    <w:uiPriority w:val="34"/>
    <w:qFormat/>
    <w:rsid w:val="001E1FD4"/>
    <w:pPr>
      <w:ind w:left="720"/>
      <w:contextualSpacing/>
    </w:pPr>
  </w:style>
  <w:style w:type="paragraph" w:styleId="TOCHeading">
    <w:name w:val="TOC Heading"/>
    <w:basedOn w:val="Heading1"/>
    <w:next w:val="Normal"/>
    <w:uiPriority w:val="39"/>
    <w:semiHidden/>
    <w:unhideWhenUsed/>
    <w:qFormat/>
    <w:rsid w:val="001E1FD4"/>
    <w:pPr>
      <w:outlineLvl w:val="9"/>
    </w:pPr>
    <w:rPr>
      <w:lang w:eastAsia="ja-JP"/>
    </w:rPr>
  </w:style>
  <w:style w:type="paragraph" w:styleId="Header">
    <w:name w:val="header"/>
    <w:basedOn w:val="Normal"/>
    <w:link w:val="HeaderChar"/>
    <w:uiPriority w:val="99"/>
    <w:unhideWhenUsed/>
    <w:rsid w:val="00445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C6"/>
  </w:style>
  <w:style w:type="paragraph" w:styleId="Footer">
    <w:name w:val="footer"/>
    <w:basedOn w:val="Normal"/>
    <w:link w:val="FooterChar"/>
    <w:uiPriority w:val="99"/>
    <w:unhideWhenUsed/>
    <w:rsid w:val="00445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6C6"/>
  </w:style>
  <w:style w:type="paragraph" w:styleId="BalloonText">
    <w:name w:val="Balloon Text"/>
    <w:basedOn w:val="Normal"/>
    <w:link w:val="BalloonTextChar"/>
    <w:uiPriority w:val="99"/>
    <w:semiHidden/>
    <w:unhideWhenUsed/>
    <w:rsid w:val="00445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6C6"/>
    <w:rPr>
      <w:rFonts w:ascii="Tahoma" w:hAnsi="Tahoma" w:cs="Tahoma"/>
      <w:sz w:val="16"/>
      <w:szCs w:val="16"/>
    </w:rPr>
  </w:style>
  <w:style w:type="table" w:styleId="TableGrid">
    <w:name w:val="Table Grid"/>
    <w:basedOn w:val="TableNormal"/>
    <w:uiPriority w:val="59"/>
    <w:rsid w:val="003C6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C61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190"/>
    <w:rPr>
      <w:sz w:val="20"/>
      <w:szCs w:val="20"/>
    </w:rPr>
  </w:style>
  <w:style w:type="character" w:styleId="FootnoteReference">
    <w:name w:val="footnote reference"/>
    <w:basedOn w:val="DefaultParagraphFont"/>
    <w:uiPriority w:val="99"/>
    <w:semiHidden/>
    <w:unhideWhenUsed/>
    <w:rsid w:val="003C6190"/>
    <w:rPr>
      <w:vertAlign w:val="superscript"/>
    </w:rPr>
  </w:style>
  <w:style w:type="character" w:styleId="Hyperlink">
    <w:name w:val="Hyperlink"/>
    <w:basedOn w:val="DefaultParagraphFont"/>
    <w:uiPriority w:val="99"/>
    <w:unhideWhenUsed/>
    <w:rsid w:val="00B8314A"/>
    <w:rPr>
      <w:color w:val="0000FF"/>
      <w:u w:val="single"/>
    </w:rPr>
  </w:style>
  <w:style w:type="table" w:styleId="LightShading-Accent1">
    <w:name w:val="Light Shading Accent 1"/>
    <w:basedOn w:val="TableNormal"/>
    <w:uiPriority w:val="60"/>
    <w:rsid w:val="004E7DB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4E7DB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4E7DB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odyText2">
    <w:name w:val="Body Text 2"/>
    <w:basedOn w:val="Normal"/>
    <w:link w:val="BodyText2Char"/>
    <w:rsid w:val="00A63D8B"/>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A63D8B"/>
    <w:rPr>
      <w:rFonts w:ascii="Arial" w:eastAsia="Times New Roman" w:hAnsi="Arial" w:cs="Arial"/>
      <w:b/>
      <w:bCs/>
      <w:sz w:val="24"/>
      <w:szCs w:val="24"/>
    </w:rPr>
  </w:style>
  <w:style w:type="character" w:styleId="Strong">
    <w:name w:val="Strong"/>
    <w:basedOn w:val="DefaultParagraphFont"/>
    <w:uiPriority w:val="22"/>
    <w:qFormat/>
    <w:rsid w:val="00A63D8B"/>
    <w:rPr>
      <w:b/>
      <w:bCs/>
      <w:color w:val="265898" w:themeColor="text2" w:themeTint="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D4"/>
  </w:style>
  <w:style w:type="paragraph" w:styleId="Heading1">
    <w:name w:val="heading 1"/>
    <w:basedOn w:val="Normal"/>
    <w:next w:val="Normal"/>
    <w:link w:val="Heading1Char"/>
    <w:uiPriority w:val="9"/>
    <w:qFormat/>
    <w:rsid w:val="001E1F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F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1F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F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1F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1FD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E1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1FD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E1F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1FD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E1FD4"/>
    <w:pPr>
      <w:spacing w:after="0" w:line="240" w:lineRule="auto"/>
    </w:pPr>
    <w:rPr>
      <w:sz w:val="24"/>
    </w:rPr>
  </w:style>
  <w:style w:type="paragraph" w:styleId="ListParagraph">
    <w:name w:val="List Paragraph"/>
    <w:basedOn w:val="Normal"/>
    <w:uiPriority w:val="34"/>
    <w:qFormat/>
    <w:rsid w:val="001E1FD4"/>
    <w:pPr>
      <w:ind w:left="720"/>
      <w:contextualSpacing/>
    </w:pPr>
  </w:style>
  <w:style w:type="paragraph" w:styleId="TOCHeading">
    <w:name w:val="TOC Heading"/>
    <w:basedOn w:val="Heading1"/>
    <w:next w:val="Normal"/>
    <w:uiPriority w:val="39"/>
    <w:semiHidden/>
    <w:unhideWhenUsed/>
    <w:qFormat/>
    <w:rsid w:val="001E1FD4"/>
    <w:pPr>
      <w:outlineLvl w:val="9"/>
    </w:pPr>
    <w:rPr>
      <w:lang w:eastAsia="ja-JP"/>
    </w:rPr>
  </w:style>
  <w:style w:type="paragraph" w:styleId="Header">
    <w:name w:val="header"/>
    <w:basedOn w:val="Normal"/>
    <w:link w:val="HeaderChar"/>
    <w:uiPriority w:val="99"/>
    <w:unhideWhenUsed/>
    <w:rsid w:val="00445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C6"/>
  </w:style>
  <w:style w:type="paragraph" w:styleId="Footer">
    <w:name w:val="footer"/>
    <w:basedOn w:val="Normal"/>
    <w:link w:val="FooterChar"/>
    <w:uiPriority w:val="99"/>
    <w:unhideWhenUsed/>
    <w:rsid w:val="00445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6C6"/>
  </w:style>
  <w:style w:type="paragraph" w:styleId="BalloonText">
    <w:name w:val="Balloon Text"/>
    <w:basedOn w:val="Normal"/>
    <w:link w:val="BalloonTextChar"/>
    <w:uiPriority w:val="99"/>
    <w:semiHidden/>
    <w:unhideWhenUsed/>
    <w:rsid w:val="00445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6C6"/>
    <w:rPr>
      <w:rFonts w:ascii="Tahoma" w:hAnsi="Tahoma" w:cs="Tahoma"/>
      <w:sz w:val="16"/>
      <w:szCs w:val="16"/>
    </w:rPr>
  </w:style>
  <w:style w:type="table" w:styleId="TableGrid">
    <w:name w:val="Table Grid"/>
    <w:basedOn w:val="TableNormal"/>
    <w:uiPriority w:val="59"/>
    <w:rsid w:val="003C6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C61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190"/>
    <w:rPr>
      <w:sz w:val="20"/>
      <w:szCs w:val="20"/>
    </w:rPr>
  </w:style>
  <w:style w:type="character" w:styleId="FootnoteReference">
    <w:name w:val="footnote reference"/>
    <w:basedOn w:val="DefaultParagraphFont"/>
    <w:uiPriority w:val="99"/>
    <w:semiHidden/>
    <w:unhideWhenUsed/>
    <w:rsid w:val="003C6190"/>
    <w:rPr>
      <w:vertAlign w:val="superscript"/>
    </w:rPr>
  </w:style>
  <w:style w:type="character" w:styleId="Hyperlink">
    <w:name w:val="Hyperlink"/>
    <w:basedOn w:val="DefaultParagraphFont"/>
    <w:uiPriority w:val="99"/>
    <w:unhideWhenUsed/>
    <w:rsid w:val="00B8314A"/>
    <w:rPr>
      <w:color w:val="0000FF"/>
      <w:u w:val="single"/>
    </w:rPr>
  </w:style>
  <w:style w:type="table" w:styleId="LightShading-Accent1">
    <w:name w:val="Light Shading Accent 1"/>
    <w:basedOn w:val="TableNormal"/>
    <w:uiPriority w:val="60"/>
    <w:rsid w:val="004E7DB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4E7DB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4E7DB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odyText2">
    <w:name w:val="Body Text 2"/>
    <w:basedOn w:val="Normal"/>
    <w:link w:val="BodyText2Char"/>
    <w:rsid w:val="00A63D8B"/>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A63D8B"/>
    <w:rPr>
      <w:rFonts w:ascii="Arial" w:eastAsia="Times New Roman" w:hAnsi="Arial" w:cs="Arial"/>
      <w:b/>
      <w:bCs/>
      <w:sz w:val="24"/>
      <w:szCs w:val="24"/>
    </w:rPr>
  </w:style>
  <w:style w:type="character" w:styleId="Strong">
    <w:name w:val="Strong"/>
    <w:basedOn w:val="DefaultParagraphFont"/>
    <w:uiPriority w:val="22"/>
    <w:qFormat/>
    <w:rsid w:val="00A63D8B"/>
    <w:rPr>
      <w:b/>
      <w:bCs/>
      <w:color w:val="265898" w:themeColor="text2" w:themeTint="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nrepp.samhs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mccafferty@springfieldcityhal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sternmasshousingfirst.org/coc/hampden-co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springfield-ma.gov/housing"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www.onecpd.info/resources/documents/FY2013-2014CoCProgramNOFA.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B0FEAAE-3DE7-47E2-9393-515464AF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dc:creator>
  <cp:lastModifiedBy>McCafferty, Gerry</cp:lastModifiedBy>
  <cp:revision>7</cp:revision>
  <cp:lastPrinted>2013-12-04T23:25:00Z</cp:lastPrinted>
  <dcterms:created xsi:type="dcterms:W3CDTF">2013-12-10T16:25:00Z</dcterms:created>
  <dcterms:modified xsi:type="dcterms:W3CDTF">2013-12-11T18:49:00Z</dcterms:modified>
</cp:coreProperties>
</file>