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80" w:rsidRPr="00C34A5A" w:rsidRDefault="005A4680" w:rsidP="00DE7CDF">
      <w:pPr>
        <w:pStyle w:val="Heading2"/>
        <w:jc w:val="center"/>
        <w:rPr>
          <w:color w:val="808080" w:themeColor="background1" w:themeShade="80"/>
          <w:sz w:val="32"/>
          <w:szCs w:val="32"/>
        </w:rPr>
      </w:pPr>
      <w:bookmarkStart w:id="0" w:name="_GoBack"/>
      <w:bookmarkEnd w:id="0"/>
      <w:r w:rsidRPr="00C34A5A">
        <w:rPr>
          <w:color w:val="808080" w:themeColor="background1" w:themeShade="80"/>
          <w:sz w:val="32"/>
          <w:szCs w:val="32"/>
        </w:rPr>
        <w:t>HAMPDEN COUNTY CONTINUUM OF CARE</w:t>
      </w:r>
    </w:p>
    <w:p w:rsidR="004456C6" w:rsidRDefault="000F10B3" w:rsidP="004456C6">
      <w:pPr>
        <w:pStyle w:val="Title"/>
        <w:jc w:val="center"/>
        <w:outlineLvl w:val="0"/>
        <w:rPr>
          <w:rFonts w:asciiTheme="minorHAnsi" w:hAnsiTheme="minorHAnsi"/>
          <w:b/>
          <w:sz w:val="32"/>
          <w:szCs w:val="32"/>
        </w:rPr>
      </w:pPr>
      <w:r>
        <w:rPr>
          <w:rFonts w:asciiTheme="minorHAnsi" w:hAnsiTheme="minorHAnsi"/>
          <w:b/>
          <w:sz w:val="32"/>
          <w:szCs w:val="32"/>
        </w:rPr>
        <w:t xml:space="preserve">CoC Application </w:t>
      </w:r>
      <w:r w:rsidR="00954AB0">
        <w:rPr>
          <w:rFonts w:asciiTheme="minorHAnsi" w:hAnsiTheme="minorHAnsi"/>
          <w:b/>
          <w:sz w:val="32"/>
          <w:szCs w:val="32"/>
        </w:rPr>
        <w:t xml:space="preserve">Ranking </w:t>
      </w:r>
      <w:r w:rsidR="006B3FC1">
        <w:rPr>
          <w:rFonts w:asciiTheme="minorHAnsi" w:hAnsiTheme="minorHAnsi"/>
          <w:b/>
          <w:sz w:val="32"/>
          <w:szCs w:val="32"/>
        </w:rPr>
        <w:t xml:space="preserve">and Selection </w:t>
      </w:r>
      <w:r w:rsidR="00C03971">
        <w:rPr>
          <w:rFonts w:asciiTheme="minorHAnsi" w:hAnsiTheme="minorHAnsi"/>
          <w:b/>
          <w:sz w:val="32"/>
          <w:szCs w:val="32"/>
        </w:rPr>
        <w:t xml:space="preserve">Process </w:t>
      </w:r>
      <w:r w:rsidR="005F7BA2">
        <w:rPr>
          <w:rFonts w:asciiTheme="minorHAnsi" w:hAnsiTheme="minorHAnsi"/>
          <w:b/>
          <w:sz w:val="32"/>
          <w:szCs w:val="32"/>
        </w:rPr>
        <w:t>2014</w:t>
      </w:r>
    </w:p>
    <w:p w:rsidR="001D11A0" w:rsidRDefault="001D11A0" w:rsidP="001D11A0">
      <w:pPr>
        <w:tabs>
          <w:tab w:val="left" w:pos="990"/>
        </w:tabs>
        <w:jc w:val="both"/>
      </w:pPr>
      <w:r w:rsidRPr="00B8314A">
        <w:t xml:space="preserve">The US Department of Housing and Urban Development (HUD) released the Continuum of Care (COC) </w:t>
      </w:r>
      <w:r>
        <w:t xml:space="preserve">FY2014 </w:t>
      </w:r>
      <w:r w:rsidRPr="00B8314A">
        <w:t>Notice of Funding Availabil</w:t>
      </w:r>
      <w:r>
        <w:t>ity (NOFA) on September 16, 2014</w:t>
      </w:r>
      <w:r w:rsidR="00AD76AB">
        <w:t>.  T</w:t>
      </w:r>
      <w:r>
        <w:t xml:space="preserve">he NOFA is available at   </w:t>
      </w:r>
      <w:hyperlink r:id="rId9" w:history="1">
        <w:r w:rsidRPr="00AD76AB">
          <w:rPr>
            <w:rStyle w:val="Hyperlink"/>
            <w:color w:val="1F497D" w:themeColor="text2"/>
          </w:rPr>
          <w:t>www.hudexchange.info/resources/documents/nofa-for-fy2014-funds-in-the-fy2013-fy2013-coc-program-competition.pdf</w:t>
        </w:r>
      </w:hyperlink>
      <w:r>
        <w:t xml:space="preserve">.   </w:t>
      </w:r>
    </w:p>
    <w:p w:rsidR="00400835" w:rsidRDefault="00662295" w:rsidP="00C562DC">
      <w:pPr>
        <w:tabs>
          <w:tab w:val="left" w:pos="885"/>
        </w:tabs>
        <w:jc w:val="both"/>
      </w:pPr>
      <w:r w:rsidRPr="00662295">
        <w:t>The Hampden County Co</w:t>
      </w:r>
      <w:r w:rsidR="001D11A0">
        <w:t>C</w:t>
      </w:r>
      <w:r>
        <w:t xml:space="preserve"> will submit a </w:t>
      </w:r>
      <w:r w:rsidRPr="00074E78">
        <w:rPr>
          <w:b/>
        </w:rPr>
        <w:t>collaborative application</w:t>
      </w:r>
      <w:r>
        <w:t xml:space="preserve"> </w:t>
      </w:r>
      <w:r w:rsidR="001D11A0">
        <w:t>to HUD for competition f</w:t>
      </w:r>
      <w:r>
        <w:t xml:space="preserve">unds on </w:t>
      </w:r>
      <w:r w:rsidR="005F7BA2" w:rsidRPr="00074E78">
        <w:rPr>
          <w:b/>
        </w:rPr>
        <w:t>October 30</w:t>
      </w:r>
      <w:r w:rsidRPr="00074E78">
        <w:rPr>
          <w:b/>
        </w:rPr>
        <w:t>, 2014</w:t>
      </w:r>
      <w:r>
        <w:t xml:space="preserve">.  </w:t>
      </w:r>
      <w:r w:rsidR="006B3FC1">
        <w:t>The application will include three types of projects:</w:t>
      </w:r>
    </w:p>
    <w:p w:rsidR="006B3FC1" w:rsidRDefault="006B3FC1" w:rsidP="006B3FC1">
      <w:pPr>
        <w:pStyle w:val="ListParagraph"/>
        <w:numPr>
          <w:ilvl w:val="0"/>
          <w:numId w:val="22"/>
        </w:numPr>
        <w:tabs>
          <w:tab w:val="left" w:pos="885"/>
        </w:tabs>
        <w:jc w:val="both"/>
      </w:pPr>
      <w:r>
        <w:t xml:space="preserve">Current projects seeking </w:t>
      </w:r>
      <w:r w:rsidRPr="006B3FC1">
        <w:rPr>
          <w:b/>
        </w:rPr>
        <w:t>renewal</w:t>
      </w:r>
      <w:r>
        <w:t>;</w:t>
      </w:r>
    </w:p>
    <w:p w:rsidR="006B3FC1" w:rsidRDefault="006B3FC1" w:rsidP="006B3FC1">
      <w:pPr>
        <w:pStyle w:val="ListParagraph"/>
        <w:numPr>
          <w:ilvl w:val="0"/>
          <w:numId w:val="22"/>
        </w:numPr>
        <w:tabs>
          <w:tab w:val="left" w:pos="885"/>
        </w:tabs>
        <w:jc w:val="both"/>
      </w:pPr>
      <w:r>
        <w:t xml:space="preserve">Current projects seeking </w:t>
      </w:r>
      <w:r w:rsidRPr="006B3FC1">
        <w:rPr>
          <w:b/>
        </w:rPr>
        <w:t>reallocation</w:t>
      </w:r>
      <w:r>
        <w:t xml:space="preserve"> funds for a new eligible project; and</w:t>
      </w:r>
    </w:p>
    <w:p w:rsidR="006B3FC1" w:rsidRDefault="006B3FC1" w:rsidP="006B3FC1">
      <w:pPr>
        <w:pStyle w:val="ListParagraph"/>
        <w:numPr>
          <w:ilvl w:val="0"/>
          <w:numId w:val="22"/>
        </w:numPr>
        <w:tabs>
          <w:tab w:val="left" w:pos="885"/>
        </w:tabs>
        <w:jc w:val="both"/>
      </w:pPr>
      <w:r>
        <w:t xml:space="preserve">One project seeking the </w:t>
      </w:r>
      <w:r w:rsidRPr="006B3FC1">
        <w:rPr>
          <w:b/>
        </w:rPr>
        <w:t>Permanent Supportive Housing Bonus</w:t>
      </w:r>
      <w:r>
        <w:t>.</w:t>
      </w:r>
    </w:p>
    <w:p w:rsidR="00441844" w:rsidRDefault="006B3FC1" w:rsidP="006B3FC1">
      <w:pPr>
        <w:tabs>
          <w:tab w:val="left" w:pos="885"/>
        </w:tabs>
        <w:jc w:val="both"/>
      </w:pPr>
      <w:r>
        <w:t xml:space="preserve">The application may also include a proposal for the CoC to receive a one year </w:t>
      </w:r>
      <w:r w:rsidRPr="00441844">
        <w:rPr>
          <w:b/>
        </w:rPr>
        <w:t>Planning</w:t>
      </w:r>
      <w:r>
        <w:t xml:space="preserve"> grant</w:t>
      </w:r>
      <w:r w:rsidR="00AD76AB">
        <w:t>, for an am</w:t>
      </w:r>
      <w:r w:rsidR="009054C2">
        <w:t>ount up to $44</w:t>
      </w:r>
      <w:r w:rsidR="00AD76AB">
        <w:t>,182.</w:t>
      </w:r>
    </w:p>
    <w:p w:rsidR="00441844" w:rsidRPr="00C34A5A" w:rsidRDefault="00441844" w:rsidP="00C34A5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885"/>
        </w:tabs>
        <w:jc w:val="both"/>
      </w:pPr>
      <w:r w:rsidRPr="00C34A5A">
        <w:t xml:space="preserve">Project applications for </w:t>
      </w:r>
      <w:r w:rsidRPr="00C34A5A">
        <w:rPr>
          <w:u w:val="single"/>
        </w:rPr>
        <w:t>renewal</w:t>
      </w:r>
      <w:r w:rsidRPr="00C34A5A">
        <w:t xml:space="preserve">, </w:t>
      </w:r>
      <w:r w:rsidRPr="00C34A5A">
        <w:rPr>
          <w:u w:val="single"/>
        </w:rPr>
        <w:t>reallocation</w:t>
      </w:r>
      <w:r w:rsidRPr="00C34A5A">
        <w:t xml:space="preserve"> and </w:t>
      </w:r>
      <w:r w:rsidRPr="00C34A5A">
        <w:rPr>
          <w:u w:val="single"/>
        </w:rPr>
        <w:t>permanent supportive housing bonus</w:t>
      </w:r>
      <w:r w:rsidRPr="00C34A5A">
        <w:t xml:space="preserve"> must be submitted to the CoC in the </w:t>
      </w:r>
      <w:r w:rsidR="00C34A5A" w:rsidRPr="00C34A5A">
        <w:t>electronic</w:t>
      </w:r>
      <w:r w:rsidRPr="00C34A5A">
        <w:t xml:space="preserve"> </w:t>
      </w:r>
      <w:r w:rsidRPr="00C34A5A">
        <w:rPr>
          <w:i/>
        </w:rPr>
        <w:t>esnaps</w:t>
      </w:r>
      <w:r w:rsidRPr="00C34A5A">
        <w:t xml:space="preserve"> system no later than </w:t>
      </w:r>
      <w:r w:rsidR="009054C2" w:rsidRPr="00C34A5A">
        <w:t xml:space="preserve">4:00 p.m. on Tuesday, </w:t>
      </w:r>
      <w:r w:rsidR="00AD76AB" w:rsidRPr="00C34A5A">
        <w:t>Oct.</w:t>
      </w:r>
      <w:r w:rsidR="009054C2" w:rsidRPr="00C34A5A">
        <w:t>14, 2014.</w:t>
      </w:r>
    </w:p>
    <w:p w:rsidR="00AD76AB" w:rsidRDefault="00AD76AB" w:rsidP="006B3FC1">
      <w:pPr>
        <w:tabs>
          <w:tab w:val="left" w:pos="885"/>
        </w:tabs>
        <w:jc w:val="both"/>
      </w:pPr>
      <w:r>
        <w:t>Scoring of applications will be completed by the CoC Scoring and Ranking Committee, which will be made up of CoC members who are not employed by or associated with any of the project sponsors applying for funds.</w:t>
      </w:r>
    </w:p>
    <w:p w:rsidR="001D11A0" w:rsidRDefault="001D11A0" w:rsidP="006B3FC1">
      <w:pPr>
        <w:tabs>
          <w:tab w:val="left" w:pos="885"/>
        </w:tabs>
        <w:jc w:val="both"/>
      </w:pPr>
      <w:r>
        <w:t xml:space="preserve">The CoC </w:t>
      </w:r>
      <w:r w:rsidR="00AD76AB">
        <w:t>Scoring and Ranking C</w:t>
      </w:r>
      <w:r>
        <w:t xml:space="preserve">ommittee will score submitted proposals </w:t>
      </w:r>
      <w:r w:rsidR="00441844">
        <w:t xml:space="preserve">according to objective criteria provided as part of the application process, and will rank proposals in order according to scores.  The committee will then consider overall CoC priorities and strategy to determine a final list of projects to be submitted to HUD, and the amounts of funding to be requested for each project.  </w:t>
      </w:r>
      <w:r w:rsidR="00441844" w:rsidRPr="009054C2">
        <w:rPr>
          <w:b/>
        </w:rPr>
        <w:t>Proposers will be notified in writing on October 20, 2014</w:t>
      </w:r>
      <w:r w:rsidR="00441844">
        <w:t xml:space="preserve"> of whether they will be included and the amount to be allocated for each project, and the list and rationale for selection shall be posted on the website of the Western Massachusetts Network to End Homelessness on that date.  </w:t>
      </w:r>
    </w:p>
    <w:p w:rsidR="006B3FC1" w:rsidRDefault="006B3FC1" w:rsidP="006B3FC1">
      <w:pPr>
        <w:tabs>
          <w:tab w:val="left" w:pos="885"/>
        </w:tabs>
        <w:jc w:val="both"/>
      </w:pPr>
      <w:r>
        <w:t>Funding Amounts are as follows:</w:t>
      </w:r>
    </w:p>
    <w:tbl>
      <w:tblPr>
        <w:tblStyle w:val="TableGrid"/>
        <w:tblW w:w="0" w:type="auto"/>
        <w:jc w:val="center"/>
        <w:tblLook w:val="04A0" w:firstRow="1" w:lastRow="0" w:firstColumn="1" w:lastColumn="0" w:noHBand="0" w:noVBand="1"/>
      </w:tblPr>
      <w:tblGrid>
        <w:gridCol w:w="3192"/>
        <w:gridCol w:w="3192"/>
      </w:tblGrid>
      <w:tr w:rsidR="001D11A0" w:rsidTr="001D11A0">
        <w:trPr>
          <w:jc w:val="center"/>
        </w:trPr>
        <w:tc>
          <w:tcPr>
            <w:tcW w:w="3192" w:type="dxa"/>
          </w:tcPr>
          <w:p w:rsidR="001D11A0" w:rsidRDefault="001D11A0" w:rsidP="006B3FC1">
            <w:pPr>
              <w:tabs>
                <w:tab w:val="left" w:pos="885"/>
              </w:tabs>
              <w:jc w:val="both"/>
            </w:pPr>
            <w:r>
              <w:t>Tier 1</w:t>
            </w:r>
          </w:p>
        </w:tc>
        <w:tc>
          <w:tcPr>
            <w:tcW w:w="3192" w:type="dxa"/>
          </w:tcPr>
          <w:p w:rsidR="001D11A0" w:rsidRDefault="001D11A0" w:rsidP="006B3FC1">
            <w:pPr>
              <w:tabs>
                <w:tab w:val="left" w:pos="885"/>
              </w:tabs>
              <w:jc w:val="center"/>
            </w:pPr>
            <w:r>
              <w:t>$2,454,415</w:t>
            </w:r>
          </w:p>
        </w:tc>
      </w:tr>
      <w:tr w:rsidR="001D11A0" w:rsidTr="001D11A0">
        <w:trPr>
          <w:jc w:val="center"/>
        </w:trPr>
        <w:tc>
          <w:tcPr>
            <w:tcW w:w="3192" w:type="dxa"/>
          </w:tcPr>
          <w:p w:rsidR="001D11A0" w:rsidRDefault="001D11A0" w:rsidP="006B3FC1">
            <w:pPr>
              <w:tabs>
                <w:tab w:val="left" w:pos="885"/>
              </w:tabs>
              <w:jc w:val="both"/>
            </w:pPr>
            <w:r>
              <w:t>Tier 2</w:t>
            </w:r>
          </w:p>
        </w:tc>
        <w:tc>
          <w:tcPr>
            <w:tcW w:w="3192" w:type="dxa"/>
          </w:tcPr>
          <w:p w:rsidR="001D11A0" w:rsidRDefault="001D11A0" w:rsidP="006B3FC1">
            <w:pPr>
              <w:tabs>
                <w:tab w:val="left" w:pos="885"/>
              </w:tabs>
              <w:jc w:val="center"/>
            </w:pPr>
            <w:r>
              <w:t>$50,090</w:t>
            </w:r>
          </w:p>
        </w:tc>
      </w:tr>
      <w:tr w:rsidR="001D11A0" w:rsidTr="001D11A0">
        <w:trPr>
          <w:trHeight w:val="287"/>
          <w:jc w:val="center"/>
        </w:trPr>
        <w:tc>
          <w:tcPr>
            <w:tcW w:w="3192" w:type="dxa"/>
          </w:tcPr>
          <w:p w:rsidR="001D11A0" w:rsidRDefault="001D11A0" w:rsidP="006B3FC1">
            <w:pPr>
              <w:tabs>
                <w:tab w:val="left" w:pos="885"/>
              </w:tabs>
              <w:jc w:val="both"/>
            </w:pPr>
            <w:r>
              <w:t>Supportive Housing Bonus</w:t>
            </w:r>
          </w:p>
        </w:tc>
        <w:tc>
          <w:tcPr>
            <w:tcW w:w="3192" w:type="dxa"/>
          </w:tcPr>
          <w:p w:rsidR="001D11A0" w:rsidRDefault="001D11A0" w:rsidP="006B3FC1">
            <w:pPr>
              <w:tabs>
                <w:tab w:val="left" w:pos="885"/>
              </w:tabs>
              <w:jc w:val="center"/>
            </w:pPr>
            <w:r>
              <w:t>$375,675</w:t>
            </w:r>
          </w:p>
        </w:tc>
      </w:tr>
    </w:tbl>
    <w:p w:rsidR="001D11A0" w:rsidRDefault="00AD76AB" w:rsidP="00441844">
      <w:pPr>
        <w:tabs>
          <w:tab w:val="left" w:pos="3060"/>
        </w:tabs>
        <w:spacing w:before="240"/>
        <w:jc w:val="both"/>
      </w:pPr>
      <w:r>
        <w:t xml:space="preserve">All projects included in the applications must be fully placed in either Tier 1 or Tier 2. </w:t>
      </w:r>
      <w:r w:rsidR="001D11A0">
        <w:t xml:space="preserve">Projects submitted </w:t>
      </w:r>
      <w:r w:rsidR="00441844">
        <w:t xml:space="preserve">to HUD </w:t>
      </w:r>
      <w:r w:rsidR="001D11A0">
        <w:t>in Tier 1</w:t>
      </w:r>
      <w:r w:rsidR="00441844">
        <w:t xml:space="preserve"> </w:t>
      </w:r>
      <w:r w:rsidR="001D11A0">
        <w:t xml:space="preserve">are expected to be funded.  Tier 2 projects will be awarded funds based on the CoC </w:t>
      </w:r>
      <w:r>
        <w:t xml:space="preserve">‘s FY2013 </w:t>
      </w:r>
      <w:r w:rsidR="001D11A0">
        <w:t xml:space="preserve">competitive score and the availability of HUD funds. The tier 1 amount is set at 2% below the amount needed to fully fund all existing CoC projects eligible for renewal in 2014. </w:t>
      </w:r>
    </w:p>
    <w:p w:rsidR="00C34A5A" w:rsidRDefault="00C34A5A" w:rsidP="00C34A5A">
      <w:pPr>
        <w:tabs>
          <w:tab w:val="left" w:pos="990"/>
        </w:tabs>
        <w:jc w:val="both"/>
        <w:rPr>
          <w:b/>
          <w:color w:val="1F497D" w:themeColor="text2"/>
        </w:rPr>
      </w:pPr>
      <w:r>
        <w:rPr>
          <w:b/>
          <w:color w:val="1F497D" w:themeColor="text2"/>
        </w:rPr>
        <w:lastRenderedPageBreak/>
        <w:t>APPLICATION PROCESS FOR RENEWALS AND REALLOCATIONS</w:t>
      </w:r>
    </w:p>
    <w:p w:rsidR="00C34A5A" w:rsidRDefault="00C34A5A" w:rsidP="00C34A5A">
      <w:pPr>
        <w:jc w:val="both"/>
      </w:pPr>
      <w:r>
        <w:t xml:space="preserve">Only existing grantees may submit applications for renewal and reallocated projects.  Applicants will need to log in to </w:t>
      </w:r>
      <w:r w:rsidRPr="008776AC">
        <w:rPr>
          <w:i/>
        </w:rPr>
        <w:t>esnaps</w:t>
      </w:r>
      <w:r>
        <w:t xml:space="preserve"> to complete a renewal or reallocation application.  </w:t>
      </w:r>
    </w:p>
    <w:p w:rsidR="00C34A5A" w:rsidRDefault="00C34A5A" w:rsidP="00C34A5A">
      <w:pPr>
        <w:jc w:val="both"/>
      </w:pPr>
      <w:r w:rsidRPr="008776AC">
        <w:rPr>
          <w:b/>
        </w:rPr>
        <w:t>Renewal</w:t>
      </w:r>
      <w:r>
        <w:t xml:space="preserve">. The City of Springfield will create renewal application files </w:t>
      </w:r>
      <w:r w:rsidR="008F3099">
        <w:t xml:space="preserve">in </w:t>
      </w:r>
      <w:r w:rsidR="008F3099" w:rsidRPr="008F3099">
        <w:rPr>
          <w:i/>
        </w:rPr>
        <w:t>esnaps</w:t>
      </w:r>
      <w:r w:rsidR="008F3099">
        <w:t xml:space="preserve"> </w:t>
      </w:r>
      <w:r>
        <w:t xml:space="preserve">for each existing project no later than Monday, September 22, 2014. Renewal applicants </w:t>
      </w:r>
      <w:r w:rsidR="008F3099">
        <w:t xml:space="preserve">must </w:t>
      </w:r>
      <w:r>
        <w:t>open the renewal application, fill in missing information, update existing information, and upload any required supporting documents. Once complete, applicants must submit the renewal application.</w:t>
      </w:r>
    </w:p>
    <w:p w:rsidR="008776AC" w:rsidRDefault="008776AC" w:rsidP="00C34A5A">
      <w:pPr>
        <w:jc w:val="both"/>
      </w:pPr>
      <w:r w:rsidRPr="008776AC">
        <w:rPr>
          <w:b/>
        </w:rPr>
        <w:t>Reallocation.</w:t>
      </w:r>
      <w:r>
        <w:t xml:space="preserve"> Existing grantees may apply for a new project in place of renewal of the grantee’s existing project, a process called reallocation. Certain grantees committed in the FY13 application that they would reallocate in the FY14 application, and these grantees are </w:t>
      </w:r>
      <w:r w:rsidRPr="008776AC">
        <w:rPr>
          <w:i/>
        </w:rPr>
        <w:t>required</w:t>
      </w:r>
      <w:r>
        <w:t xml:space="preserve"> to do so.  Reallocation grantees must provide notice to Gerry McCafferty, </w:t>
      </w:r>
      <w:hyperlink r:id="rId10" w:history="1">
        <w:r w:rsidRPr="008776AC">
          <w:rPr>
            <w:rStyle w:val="Hyperlink"/>
            <w:color w:val="1F497D" w:themeColor="text2"/>
          </w:rPr>
          <w:t>gmccafferty@springfieldcityhall.com</w:t>
        </w:r>
      </w:hyperlink>
      <w:r w:rsidRPr="008776AC">
        <w:rPr>
          <w:color w:val="1F497D" w:themeColor="text2"/>
        </w:rPr>
        <w:t xml:space="preserve">, </w:t>
      </w:r>
      <w:r>
        <w:t xml:space="preserve">of the intent to reallocate and whether the new project being created is 1) permanent supportive housing for chronically homeless individuals and families, or 2) rapid rehousing for homeless families.  Within 24 hours of notification, the new project application will be set up in </w:t>
      </w:r>
      <w:r w:rsidRPr="008776AC">
        <w:rPr>
          <w:i/>
        </w:rPr>
        <w:t>esnaps</w:t>
      </w:r>
      <w:r>
        <w:t xml:space="preserve"> and ready for entry of application information.  The project sponsor must open the new project application, fill in application information, and upload required supporting documents. Once complete, applicants must submit the reallocation application.</w:t>
      </w:r>
    </w:p>
    <w:p w:rsidR="008036F2" w:rsidRPr="008776AC" w:rsidRDefault="008036F2" w:rsidP="00C34A5A">
      <w:pPr>
        <w:jc w:val="both"/>
      </w:pPr>
      <w:r>
        <w:t>HUD’s NOFA emphasizes that people living in transitional housing do not meet the definition of chronically homeless. Any program reallocating from transitional housing to permanent supportive housing must make a plan for transitional housing residents to move out before or at the end of the current grant year.</w:t>
      </w:r>
    </w:p>
    <w:p w:rsidR="008776AC" w:rsidRDefault="00C34A5A" w:rsidP="00C34A5A">
      <w:pPr>
        <w:tabs>
          <w:tab w:val="left" w:pos="990"/>
        </w:tabs>
        <w:jc w:val="both"/>
        <w:rPr>
          <w:b/>
          <w:color w:val="1F497D" w:themeColor="text2"/>
        </w:rPr>
      </w:pPr>
      <w:r>
        <w:rPr>
          <w:b/>
          <w:color w:val="1F497D" w:themeColor="text2"/>
        </w:rPr>
        <w:t>APPLICATION PROCESS FOR PERMANENT SUPPORTIVE HOUSING BONUS</w:t>
      </w:r>
    </w:p>
    <w:p w:rsidR="008776AC" w:rsidRDefault="008776AC" w:rsidP="00C34A5A">
      <w:pPr>
        <w:tabs>
          <w:tab w:val="left" w:pos="990"/>
        </w:tabs>
        <w:jc w:val="both"/>
      </w:pPr>
      <w:r w:rsidRPr="008776AC">
        <w:t>New applicants and existing grantees</w:t>
      </w:r>
      <w:r>
        <w:t xml:space="preserve"> may apply for the </w:t>
      </w:r>
      <w:r w:rsidR="00874224">
        <w:t>Permanent Supportive Housing Bon</w:t>
      </w:r>
      <w:r>
        <w:t>us.</w:t>
      </w:r>
      <w:r w:rsidR="004F380A">
        <w:t xml:space="preserve"> Applicants for the Bonus must contact Gerry McCafferty, </w:t>
      </w:r>
      <w:hyperlink r:id="rId11" w:history="1">
        <w:r w:rsidR="004F380A" w:rsidRPr="004F380A">
          <w:rPr>
            <w:rStyle w:val="Hyperlink"/>
            <w:color w:val="1F497D" w:themeColor="text2"/>
          </w:rPr>
          <w:t>gmccafferty@springfieldcityhall.com</w:t>
        </w:r>
      </w:hyperlink>
      <w:r w:rsidR="004F380A" w:rsidRPr="004F380A">
        <w:rPr>
          <w:color w:val="1F497D" w:themeColor="text2"/>
        </w:rPr>
        <w:t xml:space="preserve">, </w:t>
      </w:r>
      <w:r w:rsidR="004F380A">
        <w:t xml:space="preserve">to be given access to </w:t>
      </w:r>
      <w:r w:rsidR="004F380A" w:rsidRPr="004F380A">
        <w:rPr>
          <w:i/>
        </w:rPr>
        <w:t>esnaps</w:t>
      </w:r>
      <w:r w:rsidR="004F380A">
        <w:t xml:space="preserve"> and have an application created.  The application will be created within 24 hours of notice to Ms. McCafferty.  Ongoing technical assistance regarding use of </w:t>
      </w:r>
      <w:r w:rsidR="004F380A" w:rsidRPr="004F380A">
        <w:rPr>
          <w:i/>
        </w:rPr>
        <w:t>esnaps</w:t>
      </w:r>
      <w:r w:rsidR="004F380A">
        <w:t xml:space="preserve"> will be provided by Deborah Merkman, </w:t>
      </w:r>
      <w:hyperlink r:id="rId12" w:history="1">
        <w:r w:rsidR="004F380A" w:rsidRPr="004F380A">
          <w:rPr>
            <w:rStyle w:val="Hyperlink"/>
            <w:color w:val="1F497D" w:themeColor="text2"/>
          </w:rPr>
          <w:t>dmerkman@springfieldcityhall.com</w:t>
        </w:r>
      </w:hyperlink>
      <w:r w:rsidR="004F380A">
        <w:t>, 413-787-7756.</w:t>
      </w:r>
    </w:p>
    <w:p w:rsidR="00C03971" w:rsidRDefault="00C03971" w:rsidP="00C34A5A">
      <w:pPr>
        <w:tabs>
          <w:tab w:val="left" w:pos="990"/>
        </w:tabs>
        <w:jc w:val="both"/>
      </w:pPr>
      <w:r>
        <w:t>Additional written guidance regarding program and application requirements for bonus projects will be made available no later than September 22, 2014.</w:t>
      </w:r>
    </w:p>
    <w:p w:rsidR="00874224" w:rsidRDefault="00874224" w:rsidP="00874224">
      <w:pPr>
        <w:tabs>
          <w:tab w:val="left" w:pos="990"/>
        </w:tabs>
        <w:jc w:val="both"/>
        <w:rPr>
          <w:b/>
          <w:color w:val="1F497D" w:themeColor="text2"/>
        </w:rPr>
      </w:pPr>
      <w:r>
        <w:rPr>
          <w:b/>
          <w:color w:val="1F497D" w:themeColor="text2"/>
        </w:rPr>
        <w:t xml:space="preserve">ESNAPS GUIDANCE AND </w:t>
      </w:r>
      <w:r w:rsidR="000233DB" w:rsidRPr="00874224">
        <w:rPr>
          <w:b/>
          <w:color w:val="1F497D" w:themeColor="text2"/>
        </w:rPr>
        <w:t>TECHNICAL ASSISTANCE</w:t>
      </w:r>
    </w:p>
    <w:p w:rsidR="00C03971" w:rsidRDefault="00874224" w:rsidP="00C03971">
      <w:pPr>
        <w:tabs>
          <w:tab w:val="left" w:pos="990"/>
        </w:tabs>
        <w:jc w:val="both"/>
        <w:rPr>
          <w:b/>
          <w:color w:val="1F497D" w:themeColor="text2"/>
        </w:rPr>
      </w:pPr>
      <w:r w:rsidRPr="00874224">
        <w:rPr>
          <w:i/>
        </w:rPr>
        <w:t xml:space="preserve">Esnaps </w:t>
      </w:r>
      <w:r>
        <w:t xml:space="preserve">is available at esnaps.hud.gov.  If you do not already have the ability to log in to the CoCs esnaps account, you must request access from Deborah Merkman, </w:t>
      </w:r>
      <w:hyperlink r:id="rId13" w:history="1">
        <w:r w:rsidRPr="0027546F">
          <w:rPr>
            <w:rStyle w:val="Hyperlink"/>
          </w:rPr>
          <w:t>dmerkman@springfieldcityhall.com</w:t>
        </w:r>
      </w:hyperlink>
      <w:r>
        <w:t xml:space="preserve"> or 413-787-7746.  Deborah Merkman can also provide technical assistance </w:t>
      </w:r>
      <w:r w:rsidR="008F3099">
        <w:t xml:space="preserve">regarding </w:t>
      </w:r>
      <w:r w:rsidR="008F3099" w:rsidRPr="008F3099">
        <w:rPr>
          <w:i/>
        </w:rPr>
        <w:t>esnaps</w:t>
      </w:r>
      <w:r w:rsidR="008F3099">
        <w:t xml:space="preserve"> use throughout the application process.</w:t>
      </w:r>
    </w:p>
    <w:p w:rsidR="00C03971" w:rsidRDefault="00C03971">
      <w:pPr>
        <w:rPr>
          <w:b/>
          <w:color w:val="1F497D" w:themeColor="text2"/>
        </w:rPr>
      </w:pPr>
      <w:r>
        <w:rPr>
          <w:b/>
          <w:color w:val="1F497D" w:themeColor="text2"/>
        </w:rPr>
        <w:br w:type="page"/>
      </w:r>
    </w:p>
    <w:p w:rsidR="00C562DC" w:rsidRDefault="009054C2" w:rsidP="00074E78">
      <w:pPr>
        <w:tabs>
          <w:tab w:val="left" w:pos="990"/>
        </w:tabs>
        <w:jc w:val="both"/>
        <w:rPr>
          <w:b/>
          <w:color w:val="1F497D" w:themeColor="text2"/>
        </w:rPr>
      </w:pPr>
      <w:r>
        <w:rPr>
          <w:b/>
          <w:color w:val="1F497D" w:themeColor="text2"/>
        </w:rPr>
        <w:lastRenderedPageBreak/>
        <w:t>S</w:t>
      </w:r>
      <w:r w:rsidR="00C562DC">
        <w:rPr>
          <w:b/>
          <w:color w:val="1F497D" w:themeColor="text2"/>
        </w:rPr>
        <w:t xml:space="preserve">CORING, </w:t>
      </w:r>
      <w:r w:rsidR="00595C47" w:rsidRPr="00595C47">
        <w:rPr>
          <w:b/>
          <w:color w:val="1F497D" w:themeColor="text2"/>
        </w:rPr>
        <w:t>RANKING</w:t>
      </w:r>
      <w:r w:rsidR="00377592">
        <w:rPr>
          <w:b/>
          <w:color w:val="1F497D" w:themeColor="text2"/>
        </w:rPr>
        <w:t xml:space="preserve"> AND SELECTION</w:t>
      </w:r>
      <w:r w:rsidR="00595C47" w:rsidRPr="00595C47">
        <w:rPr>
          <w:b/>
          <w:color w:val="1F497D" w:themeColor="text2"/>
        </w:rPr>
        <w:t xml:space="preserve"> </w:t>
      </w:r>
    </w:p>
    <w:p w:rsidR="00044437" w:rsidRDefault="00377592" w:rsidP="00C562DC">
      <w:pPr>
        <w:tabs>
          <w:tab w:val="left" w:pos="990"/>
        </w:tabs>
        <w:jc w:val="both"/>
      </w:pPr>
      <w:r>
        <w:t>A</w:t>
      </w:r>
      <w:r w:rsidR="00044437">
        <w:t>ll complete</w:t>
      </w:r>
      <w:r>
        <w:t>, timely,</w:t>
      </w:r>
      <w:r w:rsidR="00044437">
        <w:t xml:space="preserve"> and eligible applications will be scored by </w:t>
      </w:r>
      <w:r w:rsidR="00C562DC">
        <w:t xml:space="preserve">the CoC Application Committee, using a scoring </w:t>
      </w:r>
      <w:r w:rsidR="00044437">
        <w:t xml:space="preserve">rubric </w:t>
      </w:r>
      <w:r w:rsidR="00C562DC">
        <w:t>attached to this guidance.</w:t>
      </w:r>
      <w:r w:rsidR="0057423C">
        <w:t xml:space="preserve">  Scores will determine each project</w:t>
      </w:r>
      <w:r>
        <w:t>’</w:t>
      </w:r>
      <w:r w:rsidR="0057423C">
        <w:t xml:space="preserve">s rank in the </w:t>
      </w:r>
      <w:r w:rsidR="00C562DC">
        <w:t xml:space="preserve">CoC’s </w:t>
      </w:r>
      <w:r w:rsidR="0057423C">
        <w:t>application</w:t>
      </w:r>
      <w:r w:rsidR="00C562DC">
        <w:t xml:space="preserve"> to HUD</w:t>
      </w:r>
      <w:r w:rsidR="0057423C">
        <w:t xml:space="preserve">, and rank will </w:t>
      </w:r>
      <w:r>
        <w:t xml:space="preserve">be the primary </w:t>
      </w:r>
      <w:r w:rsidR="0057423C">
        <w:t>determin</w:t>
      </w:r>
      <w:r>
        <w:t xml:space="preserve">ant of </w:t>
      </w:r>
      <w:r w:rsidR="0057423C">
        <w:t xml:space="preserve">placement into Tier 1 (which will be fully funded by HUD) and Tier 2 (which will only be funded if </w:t>
      </w:r>
      <w:r w:rsidR="00C562DC">
        <w:t>the CoC</w:t>
      </w:r>
      <w:r w:rsidR="00B61F68">
        <w:t>’s score is high enough and</w:t>
      </w:r>
      <w:r w:rsidR="00C562DC">
        <w:t xml:space="preserve"> if </w:t>
      </w:r>
      <w:r w:rsidR="0057423C">
        <w:t>there are sufficient resources).</w:t>
      </w:r>
    </w:p>
    <w:p w:rsidR="00044437" w:rsidRDefault="00044437" w:rsidP="0057423C">
      <w:pPr>
        <w:tabs>
          <w:tab w:val="left" w:pos="990"/>
        </w:tabs>
        <w:jc w:val="both"/>
      </w:pPr>
      <w:r>
        <w:t xml:space="preserve">The scoring rubric </w:t>
      </w:r>
      <w:r w:rsidR="00377592">
        <w:t xml:space="preserve">evaluates past performance(of renewal/reallocation applicants) and </w:t>
      </w:r>
      <w:r>
        <w:t xml:space="preserve">promotes certain best practices or practices that will </w:t>
      </w:r>
      <w:r w:rsidR="0072103B">
        <w:t>improve our local response to homelessness</w:t>
      </w:r>
      <w:r w:rsidR="00377592">
        <w:t xml:space="preserve"> and </w:t>
      </w:r>
      <w:r w:rsidR="0072103B">
        <w:t>align our response with national policies and best practices</w:t>
      </w:r>
      <w:r w:rsidR="00377592">
        <w:t>.</w:t>
      </w:r>
      <w:r>
        <w:t xml:space="preserve">  These include:</w:t>
      </w:r>
    </w:p>
    <w:p w:rsidR="00044437" w:rsidRDefault="00B61F68" w:rsidP="0057423C">
      <w:pPr>
        <w:pStyle w:val="ListParagraph"/>
        <w:numPr>
          <w:ilvl w:val="0"/>
          <w:numId w:val="4"/>
        </w:numPr>
        <w:tabs>
          <w:tab w:val="left" w:pos="990"/>
        </w:tabs>
        <w:jc w:val="both"/>
      </w:pPr>
      <w:r>
        <w:t xml:space="preserve">Agreement to use the CoC-selected assessment tool and prioritization </w:t>
      </w:r>
      <w:r w:rsidR="00044437">
        <w:t>standards;</w:t>
      </w:r>
    </w:p>
    <w:p w:rsidR="00377592" w:rsidRDefault="00377592" w:rsidP="0057423C">
      <w:pPr>
        <w:pStyle w:val="ListParagraph"/>
        <w:numPr>
          <w:ilvl w:val="0"/>
          <w:numId w:val="4"/>
        </w:numPr>
        <w:tabs>
          <w:tab w:val="left" w:pos="990"/>
        </w:tabs>
        <w:jc w:val="both"/>
      </w:pPr>
      <w:r>
        <w:t>Commitment to a Housing First low-demand service model;</w:t>
      </w:r>
    </w:p>
    <w:p w:rsidR="009A60C3" w:rsidRPr="00377592" w:rsidRDefault="0072103B" w:rsidP="0057423C">
      <w:pPr>
        <w:pStyle w:val="ListParagraph"/>
        <w:numPr>
          <w:ilvl w:val="0"/>
          <w:numId w:val="4"/>
        </w:numPr>
        <w:tabs>
          <w:tab w:val="left" w:pos="990"/>
        </w:tabs>
        <w:jc w:val="both"/>
      </w:pPr>
      <w:r w:rsidRPr="00377592">
        <w:t xml:space="preserve">Leveraging other resources at a rate that </w:t>
      </w:r>
      <w:r w:rsidR="00921CCB" w:rsidRPr="00377592">
        <w:t>exceed</w:t>
      </w:r>
      <w:r w:rsidRPr="00377592">
        <w:t>s</w:t>
      </w:r>
      <w:r w:rsidR="00921CCB" w:rsidRPr="00377592">
        <w:t xml:space="preserve"> 175%</w:t>
      </w:r>
      <w:r w:rsidR="009A60C3" w:rsidRPr="00377592">
        <w:t>; and</w:t>
      </w:r>
    </w:p>
    <w:p w:rsidR="00921CCB" w:rsidRDefault="009A60C3" w:rsidP="0057423C">
      <w:pPr>
        <w:pStyle w:val="ListParagraph"/>
        <w:numPr>
          <w:ilvl w:val="0"/>
          <w:numId w:val="4"/>
        </w:numPr>
        <w:tabs>
          <w:tab w:val="left" w:pos="990"/>
        </w:tabs>
        <w:jc w:val="both"/>
      </w:pPr>
      <w:r>
        <w:t>Projects that promote geographic diversity of programs throughout our CoC</w:t>
      </w:r>
      <w:r w:rsidR="00921CCB">
        <w:t>.</w:t>
      </w:r>
    </w:p>
    <w:p w:rsidR="00B8314A" w:rsidRDefault="009A60C3" w:rsidP="00A24BAB">
      <w:pPr>
        <w:tabs>
          <w:tab w:val="left" w:pos="990"/>
        </w:tabs>
        <w:jc w:val="both"/>
      </w:pPr>
      <w:r>
        <w:t>The process for considering projects will include the following</w:t>
      </w:r>
      <w:r w:rsidR="00D311CA">
        <w:t>:</w:t>
      </w:r>
    </w:p>
    <w:p w:rsidR="00D311CA" w:rsidRDefault="00D311CA" w:rsidP="00A24BAB">
      <w:pPr>
        <w:pStyle w:val="ListParagraph"/>
        <w:numPr>
          <w:ilvl w:val="0"/>
          <w:numId w:val="3"/>
        </w:numPr>
        <w:tabs>
          <w:tab w:val="left" w:pos="990"/>
        </w:tabs>
        <w:jc w:val="both"/>
      </w:pPr>
      <w:r>
        <w:t>A threshold requirement that submissions required in this guidance are complete and timely</w:t>
      </w:r>
      <w:r w:rsidR="00921CCB">
        <w:t xml:space="preserve"> (failure to meet this requirement will  result in project not being scored)</w:t>
      </w:r>
      <w:r>
        <w:t>;</w:t>
      </w:r>
    </w:p>
    <w:p w:rsidR="00D311CA" w:rsidRDefault="00377592" w:rsidP="00A24BAB">
      <w:pPr>
        <w:pStyle w:val="ListParagraph"/>
        <w:numPr>
          <w:ilvl w:val="0"/>
          <w:numId w:val="3"/>
        </w:numPr>
        <w:tabs>
          <w:tab w:val="left" w:pos="990"/>
        </w:tabs>
        <w:jc w:val="both"/>
      </w:pPr>
      <w:r>
        <w:t>Project scoring</w:t>
      </w:r>
      <w:r w:rsidR="00D311CA">
        <w:t>;</w:t>
      </w:r>
    </w:p>
    <w:p w:rsidR="00377592" w:rsidRDefault="00377592" w:rsidP="00A24BAB">
      <w:pPr>
        <w:pStyle w:val="ListParagraph"/>
        <w:numPr>
          <w:ilvl w:val="0"/>
          <w:numId w:val="3"/>
        </w:numPr>
        <w:tabs>
          <w:tab w:val="left" w:pos="990"/>
        </w:tabs>
        <w:jc w:val="both"/>
      </w:pPr>
      <w:r>
        <w:t xml:space="preserve">Responses to requests for explanations or requests for more information from the Scoring and Ranking Committee; and </w:t>
      </w:r>
    </w:p>
    <w:p w:rsidR="008F3099" w:rsidRDefault="00377592" w:rsidP="003C6E50">
      <w:pPr>
        <w:pStyle w:val="ListParagraph"/>
        <w:numPr>
          <w:ilvl w:val="0"/>
          <w:numId w:val="3"/>
        </w:numPr>
        <w:tabs>
          <w:tab w:val="left" w:pos="990"/>
        </w:tabs>
        <w:jc w:val="both"/>
      </w:pPr>
      <w:r>
        <w:t xml:space="preserve">[Possibly] </w:t>
      </w:r>
      <w:r w:rsidR="00D311CA" w:rsidRPr="00921CCB">
        <w:t>Applicant interviews</w:t>
      </w:r>
      <w:r>
        <w:t xml:space="preserve"> for proposers of Permanent Supportive Housing Bonus projects</w:t>
      </w:r>
      <w:r w:rsidR="00D311CA" w:rsidRPr="00921CCB">
        <w:t>.</w:t>
      </w:r>
    </w:p>
    <w:p w:rsidR="003C6E50" w:rsidRDefault="003C6E50" w:rsidP="008F3099">
      <w:pPr>
        <w:tabs>
          <w:tab w:val="left" w:pos="990"/>
        </w:tabs>
        <w:jc w:val="both"/>
      </w:pPr>
      <w:r>
        <w:t>Once the committee completes the scoring</w:t>
      </w:r>
      <w:r w:rsidR="00377592">
        <w:t xml:space="preserve"> and ranking</w:t>
      </w:r>
      <w:r>
        <w:t xml:space="preserve">, the committee may consider </w:t>
      </w:r>
      <w:r w:rsidR="00377592">
        <w:t>the CoC’s priorities, as established at the Sept.</w:t>
      </w:r>
      <w:r w:rsidR="008F3099">
        <w:t xml:space="preserve"> </w:t>
      </w:r>
      <w:r w:rsidR="00377592">
        <w:t xml:space="preserve">19, 2014 Board of Directors meeting, </w:t>
      </w:r>
      <w:r>
        <w:t>whether the initial scoring is likely to result in any critical service gaps</w:t>
      </w:r>
      <w:r w:rsidR="00377592">
        <w:t xml:space="preserve">, and strategy related to Tier cut offs and HUD’s selection process, </w:t>
      </w:r>
      <w:r>
        <w:t>and may make adjustments</w:t>
      </w:r>
      <w:r w:rsidR="00377592">
        <w:t xml:space="preserve"> and produce the final ranking of projects to be included in the CoC application. The Committee’s</w:t>
      </w:r>
      <w:r>
        <w:t xml:space="preserve"> rationale for any adjustments must be recorded and made public with the published rankings.</w:t>
      </w:r>
    </w:p>
    <w:p w:rsidR="000233DB" w:rsidRDefault="0057423C" w:rsidP="000233DB">
      <w:pPr>
        <w:tabs>
          <w:tab w:val="left" w:pos="990"/>
        </w:tabs>
        <w:jc w:val="both"/>
      </w:pPr>
      <w:r>
        <w:t xml:space="preserve">Project </w:t>
      </w:r>
      <w:r w:rsidR="009A60C3">
        <w:t xml:space="preserve">selections, </w:t>
      </w:r>
      <w:r>
        <w:t>rankings and t</w:t>
      </w:r>
      <w:r w:rsidR="000823AC">
        <w:t>ier allocations will be</w:t>
      </w:r>
      <w:r w:rsidR="000233DB" w:rsidRPr="000233DB">
        <w:t xml:space="preserve"> </w:t>
      </w:r>
      <w:r w:rsidR="000233DB">
        <w:t>provided to proposers by written notice and</w:t>
      </w:r>
      <w:r w:rsidR="000823AC">
        <w:t xml:space="preserve"> published on the following website no </w:t>
      </w:r>
      <w:r w:rsidR="000233DB">
        <w:t>later than 8:00 pm on October 20</w:t>
      </w:r>
      <w:r w:rsidR="000823AC">
        <w:t>, 2014</w:t>
      </w:r>
      <w:r w:rsidR="000233DB">
        <w:t>:</w:t>
      </w:r>
    </w:p>
    <w:p w:rsidR="000233DB" w:rsidRDefault="000233DB" w:rsidP="000233DB">
      <w:pPr>
        <w:tabs>
          <w:tab w:val="left" w:pos="990"/>
        </w:tabs>
        <w:spacing w:after="0"/>
        <w:jc w:val="both"/>
      </w:pPr>
      <w:r>
        <w:tab/>
      </w:r>
      <w:r w:rsidR="00C34A5A">
        <w:t xml:space="preserve">Western Massachusetts </w:t>
      </w:r>
      <w:r w:rsidR="000823AC">
        <w:t>Network to End Homelessness,</w:t>
      </w:r>
    </w:p>
    <w:p w:rsidR="000823AC" w:rsidRDefault="000233DB" w:rsidP="000233DB">
      <w:pPr>
        <w:tabs>
          <w:tab w:val="left" w:pos="990"/>
        </w:tabs>
        <w:jc w:val="both"/>
      </w:pPr>
      <w:r>
        <w:tab/>
      </w:r>
      <w:hyperlink r:id="rId14" w:history="1">
        <w:r w:rsidR="000823AC" w:rsidRPr="00502151">
          <w:rPr>
            <w:rStyle w:val="Hyperlink"/>
          </w:rPr>
          <w:t>http://westernmasshousingfirst.org/coc/hampden-coc</w:t>
        </w:r>
      </w:hyperlink>
    </w:p>
    <w:p w:rsidR="000823AC" w:rsidRDefault="000823AC" w:rsidP="00A24BAB">
      <w:pPr>
        <w:tabs>
          <w:tab w:val="left" w:pos="990"/>
        </w:tabs>
        <w:jc w:val="both"/>
      </w:pPr>
      <w:r>
        <w:t xml:space="preserve">Applicants </w:t>
      </w:r>
      <w:r w:rsidR="00EA4087">
        <w:t xml:space="preserve">not selected by the CoC to be included in the CoC submission to HUD may appeal by submitting their </w:t>
      </w:r>
      <w:r w:rsidR="00EA4087" w:rsidRPr="00EA4087">
        <w:rPr>
          <w:i/>
        </w:rPr>
        <w:t>esnaps</w:t>
      </w:r>
      <w:r w:rsidR="00EA4087">
        <w:t xml:space="preserve"> Solo Application directly to HUD not later than October 30, 2014, 7:59:59 p.m. eastern time</w:t>
      </w:r>
      <w:r w:rsidR="00A24BAB">
        <w:t>.</w:t>
      </w:r>
    </w:p>
    <w:p w:rsidR="000233DB" w:rsidRDefault="000233DB">
      <w:pPr>
        <w:rPr>
          <w:b/>
          <w:color w:val="1F497D" w:themeColor="text2"/>
        </w:rPr>
      </w:pPr>
      <w:r>
        <w:rPr>
          <w:b/>
          <w:color w:val="1F497D" w:themeColor="text2"/>
        </w:rPr>
        <w:br w:type="page"/>
      </w:r>
    </w:p>
    <w:p w:rsidR="00662295" w:rsidRPr="00595C47" w:rsidRDefault="00595C47" w:rsidP="00595C47">
      <w:pPr>
        <w:rPr>
          <w:b/>
          <w:color w:val="1F497D" w:themeColor="text2"/>
        </w:rPr>
      </w:pPr>
      <w:r w:rsidRPr="00595C47">
        <w:rPr>
          <w:b/>
          <w:color w:val="1F497D" w:themeColor="text2"/>
        </w:rPr>
        <w:lastRenderedPageBreak/>
        <w:t>TIMELINE</w:t>
      </w:r>
    </w:p>
    <w:p w:rsidR="009E0147" w:rsidRDefault="00D66757" w:rsidP="00C03971">
      <w:pPr>
        <w:spacing w:after="120"/>
        <w:rPr>
          <w:b/>
        </w:rPr>
      </w:pPr>
      <w:r>
        <w:rPr>
          <w:b/>
        </w:rPr>
        <w:t>Sept.</w:t>
      </w:r>
      <w:r w:rsidR="000233DB">
        <w:rPr>
          <w:b/>
        </w:rPr>
        <w:t xml:space="preserve"> 22, 2014</w:t>
      </w:r>
      <w:r w:rsidR="000233DB">
        <w:rPr>
          <w:b/>
        </w:rPr>
        <w:tab/>
      </w:r>
      <w:r w:rsidR="008F3099">
        <w:rPr>
          <w:b/>
        </w:rPr>
        <w:tab/>
      </w:r>
      <w:r w:rsidR="009E0147">
        <w:rPr>
          <w:b/>
        </w:rPr>
        <w:t xml:space="preserve">Hampden County </w:t>
      </w:r>
      <w:r w:rsidR="0036175D">
        <w:rPr>
          <w:b/>
        </w:rPr>
        <w:t xml:space="preserve">CoC </w:t>
      </w:r>
      <w:r w:rsidR="000233DB">
        <w:rPr>
          <w:b/>
        </w:rPr>
        <w:t>FY2014 Competition Opens</w:t>
      </w:r>
    </w:p>
    <w:p w:rsidR="00D66757" w:rsidRDefault="00D66757" w:rsidP="0069780C">
      <w:pPr>
        <w:spacing w:after="0"/>
        <w:rPr>
          <w:b/>
        </w:rPr>
      </w:pPr>
      <w:r>
        <w:rPr>
          <w:b/>
        </w:rPr>
        <w:t>Oct. 1, 2014</w:t>
      </w:r>
      <w:r>
        <w:rPr>
          <w:b/>
        </w:rPr>
        <w:tab/>
      </w:r>
      <w:r>
        <w:rPr>
          <w:b/>
        </w:rPr>
        <w:tab/>
      </w:r>
      <w:r w:rsidRPr="00D66757">
        <w:rPr>
          <w:b/>
          <w:i/>
        </w:rPr>
        <w:t>Optional</w:t>
      </w:r>
      <w:r>
        <w:rPr>
          <w:i/>
        </w:rPr>
        <w:t xml:space="preserve">  </w:t>
      </w:r>
      <w:r>
        <w:rPr>
          <w:b/>
        </w:rPr>
        <w:t>Bidders Conference</w:t>
      </w:r>
    </w:p>
    <w:p w:rsidR="009E0147" w:rsidRDefault="00D66757" w:rsidP="00C03971">
      <w:pPr>
        <w:spacing w:after="120"/>
        <w:rPr>
          <w:b/>
        </w:rPr>
      </w:pPr>
      <w:r>
        <w:rPr>
          <w:b/>
        </w:rPr>
        <w:t>10:00 a.m.</w:t>
      </w:r>
      <w:r>
        <w:rPr>
          <w:b/>
        </w:rPr>
        <w:tab/>
      </w:r>
      <w:r>
        <w:rPr>
          <w:b/>
        </w:rPr>
        <w:tab/>
      </w:r>
      <w:r>
        <w:t>1600 E. Columbus Ave., Springfield, MA</w:t>
      </w:r>
    </w:p>
    <w:p w:rsidR="008F3099" w:rsidRDefault="000233DB" w:rsidP="009E0147">
      <w:pPr>
        <w:spacing w:after="0"/>
        <w:rPr>
          <w:b/>
        </w:rPr>
      </w:pPr>
      <w:r>
        <w:rPr>
          <w:b/>
        </w:rPr>
        <w:t>Oct. 14, 2014</w:t>
      </w:r>
      <w:r w:rsidR="006137D7">
        <w:rPr>
          <w:b/>
        </w:rPr>
        <w:tab/>
      </w:r>
      <w:r w:rsidR="008F3099">
        <w:rPr>
          <w:b/>
        </w:rPr>
        <w:tab/>
      </w:r>
      <w:r w:rsidR="009E0147">
        <w:rPr>
          <w:b/>
        </w:rPr>
        <w:t>Deadline for Submittal of Complete Application for Rating and Ranking</w:t>
      </w:r>
    </w:p>
    <w:p w:rsidR="008F3099" w:rsidRDefault="000233DB" w:rsidP="009E0147">
      <w:pPr>
        <w:spacing w:after="0"/>
      </w:pPr>
      <w:r>
        <w:rPr>
          <w:b/>
        </w:rPr>
        <w:t>5:00 pm</w:t>
      </w:r>
      <w:r w:rsidR="008F3099">
        <w:rPr>
          <w:b/>
        </w:rPr>
        <w:tab/>
      </w:r>
      <w:r w:rsidR="008F3099">
        <w:rPr>
          <w:b/>
        </w:rPr>
        <w:tab/>
      </w:r>
      <w:r w:rsidR="008F3099">
        <w:t>Complete applications include:</w:t>
      </w:r>
    </w:p>
    <w:p w:rsidR="00597229" w:rsidRDefault="00597229" w:rsidP="00597229">
      <w:pPr>
        <w:pStyle w:val="ListParagraph"/>
        <w:numPr>
          <w:ilvl w:val="0"/>
          <w:numId w:val="24"/>
        </w:numPr>
        <w:spacing w:after="0"/>
      </w:pPr>
      <w:r>
        <w:t>Esnaps submittal with following attachments:</w:t>
      </w:r>
    </w:p>
    <w:p w:rsidR="008F3099" w:rsidRDefault="008F3099" w:rsidP="00D66757">
      <w:pPr>
        <w:pStyle w:val="ListParagraph"/>
        <w:numPr>
          <w:ilvl w:val="0"/>
          <w:numId w:val="23"/>
        </w:numPr>
        <w:spacing w:after="0"/>
      </w:pPr>
      <w:r>
        <w:t>Attachment of agency 501(c)(3) verification</w:t>
      </w:r>
    </w:p>
    <w:p w:rsidR="00597229" w:rsidRPr="00597229" w:rsidRDefault="00C03971" w:rsidP="00D66757">
      <w:pPr>
        <w:pStyle w:val="ListParagraph"/>
        <w:numPr>
          <w:ilvl w:val="0"/>
          <w:numId w:val="23"/>
        </w:numPr>
        <w:spacing w:after="0"/>
        <w:rPr>
          <w:b/>
        </w:rPr>
      </w:pPr>
      <w:r>
        <w:t xml:space="preserve">Match </w:t>
      </w:r>
      <w:r w:rsidR="008F3099">
        <w:t>commitment letters</w:t>
      </w:r>
      <w:r>
        <w:t xml:space="preserve"> </w:t>
      </w:r>
    </w:p>
    <w:p w:rsidR="008F3099" w:rsidRPr="00BF57F5" w:rsidRDefault="00597229" w:rsidP="009E0147">
      <w:pPr>
        <w:pStyle w:val="ListParagraph"/>
        <w:numPr>
          <w:ilvl w:val="0"/>
          <w:numId w:val="24"/>
        </w:numPr>
        <w:spacing w:after="0"/>
        <w:rPr>
          <w:b/>
        </w:rPr>
      </w:pPr>
      <w:r w:rsidRPr="00597229">
        <w:t>Paper submittal to City of Springfield which includes</w:t>
      </w:r>
      <w:r w:rsidR="006137D7" w:rsidRPr="00597229">
        <w:tab/>
      </w:r>
      <w:r>
        <w:t>:</w:t>
      </w:r>
    </w:p>
    <w:p w:rsidR="00C03971" w:rsidRPr="00C03971" w:rsidRDefault="00C03971" w:rsidP="00C03971">
      <w:pPr>
        <w:pStyle w:val="ListParagraph"/>
        <w:numPr>
          <w:ilvl w:val="1"/>
          <w:numId w:val="24"/>
        </w:numPr>
        <w:spacing w:after="0"/>
        <w:ind w:left="3600"/>
      </w:pPr>
      <w:r w:rsidRPr="00C03971">
        <w:t>Leverage commitment letters</w:t>
      </w:r>
    </w:p>
    <w:p w:rsidR="00BF57F5" w:rsidRPr="00BF57F5" w:rsidRDefault="00BF57F5" w:rsidP="00BF57F5">
      <w:pPr>
        <w:pStyle w:val="ListParagraph"/>
        <w:spacing w:after="0"/>
        <w:ind w:left="3240"/>
      </w:pPr>
      <w:r w:rsidRPr="00BF57F5">
        <w:t xml:space="preserve">Certified Organization Audit/Financial </w:t>
      </w:r>
      <w:r>
        <w:t>Statements of most recent year:</w:t>
      </w:r>
    </w:p>
    <w:p w:rsidR="00BF57F5" w:rsidRPr="00BF57F5" w:rsidRDefault="00BF57F5" w:rsidP="00BF57F5">
      <w:pPr>
        <w:pStyle w:val="ListParagraph"/>
        <w:spacing w:after="0"/>
        <w:ind w:left="3240" w:firstLine="360"/>
      </w:pPr>
      <w:r w:rsidRPr="00BF57F5">
        <w:t>a.</w:t>
      </w:r>
      <w:r w:rsidRPr="00BF57F5">
        <w:tab/>
        <w:t>Copy of OMB A-133 Audit (Required if $500,000 or more in aggregate Federal funds expended); or</w:t>
      </w:r>
    </w:p>
    <w:p w:rsidR="00BF57F5" w:rsidRPr="00BF57F5" w:rsidRDefault="00BF57F5" w:rsidP="00BF57F5">
      <w:pPr>
        <w:pStyle w:val="ListParagraph"/>
        <w:spacing w:after="0"/>
        <w:ind w:left="3240" w:firstLine="360"/>
      </w:pPr>
      <w:r w:rsidRPr="00BF57F5">
        <w:t>b.</w:t>
      </w:r>
      <w:r w:rsidRPr="00BF57F5">
        <w:tab/>
        <w:t>Financial statements audited by a CPA (if not bound by the requirements of OMB A-133).</w:t>
      </w:r>
    </w:p>
    <w:p w:rsidR="00BF57F5" w:rsidRPr="00BF57F5" w:rsidRDefault="00BF57F5" w:rsidP="00BF57F5">
      <w:pPr>
        <w:pStyle w:val="ListParagraph"/>
        <w:spacing w:after="0"/>
        <w:ind w:left="3240"/>
      </w:pPr>
      <w:r w:rsidRPr="00BF57F5">
        <w:t>•</w:t>
      </w:r>
      <w:r w:rsidRPr="00BF57F5">
        <w:tab/>
        <w:t>Agency Financial Management Policies and Procedures;</w:t>
      </w:r>
    </w:p>
    <w:p w:rsidR="00BF57F5" w:rsidRDefault="00BF57F5" w:rsidP="00BF57F5">
      <w:pPr>
        <w:pStyle w:val="ListParagraph"/>
        <w:spacing w:after="0"/>
        <w:ind w:left="3240"/>
      </w:pPr>
      <w:r w:rsidRPr="00BF57F5">
        <w:t>•</w:t>
      </w:r>
      <w:r w:rsidRPr="00BF57F5">
        <w:tab/>
        <w:t>Agency Procurement Policies and Procedures;</w:t>
      </w:r>
      <w:r>
        <w:t xml:space="preserve"> and </w:t>
      </w:r>
    </w:p>
    <w:p w:rsidR="00BF57F5" w:rsidRDefault="00BF57F5" w:rsidP="00C03971">
      <w:pPr>
        <w:pStyle w:val="ListParagraph"/>
        <w:numPr>
          <w:ilvl w:val="0"/>
          <w:numId w:val="19"/>
        </w:numPr>
        <w:autoSpaceDE w:val="0"/>
        <w:autoSpaceDN w:val="0"/>
        <w:adjustRightInd w:val="0"/>
        <w:spacing w:after="120"/>
        <w:ind w:left="3240"/>
        <w:jc w:val="both"/>
      </w:pPr>
      <w:r w:rsidRPr="00C03971">
        <w:rPr>
          <w:bCs/>
          <w:iCs/>
        </w:rPr>
        <w:t xml:space="preserve">The following agency policies: Code of Conduct and Conflict of Interest; Drug-Free Workplace; Affirmatively Furthering Fair Housing; Reasonable Accommodation and Accessibility for Persons with Disabilities; Nondiscrimination and Equal Employment; and Confidentiality. </w:t>
      </w:r>
    </w:p>
    <w:p w:rsidR="008F3099" w:rsidRDefault="008F3099" w:rsidP="009E0147">
      <w:pPr>
        <w:spacing w:after="0"/>
        <w:rPr>
          <w:b/>
        </w:rPr>
      </w:pPr>
      <w:r>
        <w:rPr>
          <w:b/>
        </w:rPr>
        <w:t>Oct. 20, 2014</w:t>
      </w:r>
      <w:r>
        <w:rPr>
          <w:b/>
        </w:rPr>
        <w:tab/>
      </w:r>
      <w:r>
        <w:rPr>
          <w:b/>
        </w:rPr>
        <w:tab/>
        <w:t xml:space="preserve">Ranking and Selection Results posted on Network website and sent to </w:t>
      </w:r>
    </w:p>
    <w:p w:rsidR="008F3099" w:rsidRDefault="008F3099" w:rsidP="00C03971">
      <w:pPr>
        <w:tabs>
          <w:tab w:val="left" w:pos="720"/>
          <w:tab w:val="left" w:pos="1440"/>
          <w:tab w:val="left" w:pos="2160"/>
          <w:tab w:val="left" w:pos="2880"/>
          <w:tab w:val="left" w:pos="3600"/>
          <w:tab w:val="center" w:pos="4680"/>
        </w:tabs>
        <w:spacing w:after="120"/>
        <w:rPr>
          <w:b/>
        </w:rPr>
      </w:pPr>
      <w:r>
        <w:rPr>
          <w:b/>
        </w:rPr>
        <w:t>8:00 pm</w:t>
      </w:r>
      <w:r>
        <w:rPr>
          <w:b/>
        </w:rPr>
        <w:tab/>
      </w:r>
      <w:r>
        <w:rPr>
          <w:b/>
        </w:rPr>
        <w:tab/>
        <w:t>applicants in writing</w:t>
      </w:r>
      <w:r w:rsidR="00C03971">
        <w:rPr>
          <w:b/>
        </w:rPr>
        <w:tab/>
      </w:r>
    </w:p>
    <w:p w:rsidR="008C397C" w:rsidRPr="00D66757" w:rsidRDefault="00D66757" w:rsidP="00D66757">
      <w:pPr>
        <w:spacing w:after="0"/>
        <w:rPr>
          <w:b/>
        </w:rPr>
      </w:pPr>
      <w:r w:rsidRPr="00D66757">
        <w:rPr>
          <w:b/>
        </w:rPr>
        <w:t>Oct. 28, 2014</w:t>
      </w:r>
      <w:r w:rsidRPr="00D66757">
        <w:rPr>
          <w:b/>
        </w:rPr>
        <w:tab/>
      </w:r>
      <w:r w:rsidRPr="00D66757">
        <w:rPr>
          <w:b/>
        </w:rPr>
        <w:tab/>
      </w:r>
      <w:r w:rsidR="009E0147" w:rsidRPr="00D66757">
        <w:rPr>
          <w:b/>
        </w:rPr>
        <w:t xml:space="preserve">ALL </w:t>
      </w:r>
      <w:r w:rsidRPr="00D66757">
        <w:rPr>
          <w:b/>
        </w:rPr>
        <w:t xml:space="preserve">SUCCESSFUL </w:t>
      </w:r>
      <w:r w:rsidR="009E0147" w:rsidRPr="00D66757">
        <w:rPr>
          <w:b/>
        </w:rPr>
        <w:t>APPLICANTS must submit one of each of the following:</w:t>
      </w:r>
    </w:p>
    <w:p w:rsidR="008C397C" w:rsidRDefault="008C397C" w:rsidP="008C397C">
      <w:pPr>
        <w:pStyle w:val="ListParagraph"/>
        <w:numPr>
          <w:ilvl w:val="0"/>
          <w:numId w:val="15"/>
        </w:numPr>
        <w:autoSpaceDE w:val="0"/>
        <w:autoSpaceDN w:val="0"/>
        <w:adjustRightInd w:val="0"/>
        <w:spacing w:after="0"/>
        <w:jc w:val="both"/>
        <w:rPr>
          <w:bCs/>
          <w:iCs/>
        </w:rPr>
      </w:pPr>
      <w:r w:rsidRPr="008C397C">
        <w:rPr>
          <w:bCs/>
          <w:iCs/>
        </w:rPr>
        <w:t>Agency Articles of Incorporation;</w:t>
      </w:r>
    </w:p>
    <w:p w:rsidR="008C397C" w:rsidRDefault="008C397C" w:rsidP="008C397C">
      <w:pPr>
        <w:pStyle w:val="ListParagraph"/>
        <w:numPr>
          <w:ilvl w:val="0"/>
          <w:numId w:val="15"/>
        </w:numPr>
        <w:autoSpaceDE w:val="0"/>
        <w:autoSpaceDN w:val="0"/>
        <w:adjustRightInd w:val="0"/>
        <w:spacing w:after="0"/>
        <w:jc w:val="both"/>
        <w:rPr>
          <w:bCs/>
          <w:iCs/>
        </w:rPr>
      </w:pPr>
      <w:r w:rsidRPr="008C397C">
        <w:rPr>
          <w:bCs/>
          <w:iCs/>
        </w:rPr>
        <w:t xml:space="preserve">Minutes of Board of Directors meeting authorizing application  for new or renewal funding; </w:t>
      </w:r>
    </w:p>
    <w:p w:rsidR="008C397C" w:rsidRDefault="008C397C" w:rsidP="008C397C">
      <w:pPr>
        <w:pStyle w:val="ListParagraph"/>
        <w:numPr>
          <w:ilvl w:val="0"/>
          <w:numId w:val="15"/>
        </w:numPr>
        <w:autoSpaceDE w:val="0"/>
        <w:autoSpaceDN w:val="0"/>
        <w:adjustRightInd w:val="0"/>
        <w:spacing w:after="0"/>
        <w:jc w:val="both"/>
        <w:rPr>
          <w:bCs/>
          <w:iCs/>
        </w:rPr>
      </w:pPr>
      <w:r w:rsidRPr="008C397C">
        <w:rPr>
          <w:bCs/>
          <w:iCs/>
        </w:rPr>
        <w:t>Current List of Board of Directors with identification of Officers and terms;</w:t>
      </w:r>
    </w:p>
    <w:p w:rsidR="008C397C" w:rsidRPr="005770E1" w:rsidRDefault="005770E1" w:rsidP="005770E1">
      <w:pPr>
        <w:pStyle w:val="ListParagraph"/>
        <w:numPr>
          <w:ilvl w:val="0"/>
          <w:numId w:val="16"/>
        </w:numPr>
        <w:tabs>
          <w:tab w:val="clear" w:pos="720"/>
          <w:tab w:val="num" w:pos="2520"/>
        </w:tabs>
        <w:autoSpaceDE w:val="0"/>
        <w:autoSpaceDN w:val="0"/>
        <w:adjustRightInd w:val="0"/>
        <w:spacing w:after="0" w:line="240" w:lineRule="auto"/>
        <w:ind w:left="2520"/>
        <w:jc w:val="both"/>
        <w:rPr>
          <w:bCs/>
          <w:iCs/>
        </w:rPr>
      </w:pPr>
      <w:r w:rsidRPr="005770E1">
        <w:rPr>
          <w:bCs/>
          <w:iCs/>
        </w:rPr>
        <w:t xml:space="preserve">The following completed forms: </w:t>
      </w:r>
      <w:r w:rsidR="008C397C" w:rsidRPr="005770E1">
        <w:rPr>
          <w:bCs/>
          <w:iCs/>
        </w:rPr>
        <w:t>Notarized Tax Certification Affidavit;</w:t>
      </w:r>
      <w:r w:rsidRPr="005770E1">
        <w:rPr>
          <w:bCs/>
          <w:iCs/>
        </w:rPr>
        <w:t xml:space="preserve"> </w:t>
      </w:r>
      <w:r w:rsidR="008C397C" w:rsidRPr="005770E1">
        <w:rPr>
          <w:bCs/>
          <w:iCs/>
        </w:rPr>
        <w:t>Conflict of Interest Statement;</w:t>
      </w:r>
      <w:r w:rsidRPr="005770E1">
        <w:rPr>
          <w:bCs/>
          <w:iCs/>
        </w:rPr>
        <w:t xml:space="preserve"> </w:t>
      </w:r>
      <w:r w:rsidR="008C397C" w:rsidRPr="005770E1">
        <w:rPr>
          <w:bCs/>
          <w:iCs/>
        </w:rPr>
        <w:t>Debarment Certificate; Internal Control Questionnaire; and</w:t>
      </w:r>
      <w:r w:rsidRPr="005770E1">
        <w:rPr>
          <w:bCs/>
          <w:iCs/>
        </w:rPr>
        <w:t xml:space="preserve"> </w:t>
      </w:r>
      <w:r w:rsidRPr="005770E1">
        <w:rPr>
          <w:rStyle w:val="Strong"/>
          <w:rFonts w:cstheme="minorHAnsi"/>
          <w:b w:val="0"/>
          <w:color w:val="auto"/>
        </w:rPr>
        <w:t>CoC Program Project Sponsor Certifications.</w:t>
      </w:r>
    </w:p>
    <w:p w:rsidR="0036175D" w:rsidRDefault="0036175D" w:rsidP="00C03971">
      <w:pPr>
        <w:spacing w:before="120" w:after="120"/>
        <w:ind w:left="2160"/>
      </w:pPr>
      <w:r>
        <w:t xml:space="preserve">Submit </w:t>
      </w:r>
      <w:r w:rsidR="00D86970">
        <w:t xml:space="preserve">one copy of each of </w:t>
      </w:r>
      <w:r>
        <w:t>these materials to the City of Springfield Office of Housing</w:t>
      </w:r>
      <w:r w:rsidR="00EA4087">
        <w:t xml:space="preserve">, </w:t>
      </w:r>
      <w:r>
        <w:t>1600 E. Columbus Ave.</w:t>
      </w:r>
      <w:r w:rsidR="00EA4087">
        <w:t xml:space="preserve">, </w:t>
      </w:r>
      <w:r>
        <w:t>Springfield, MA 01103</w:t>
      </w:r>
      <w:r w:rsidR="00EA4087">
        <w:t>.</w:t>
      </w:r>
    </w:p>
    <w:p w:rsidR="00D2432E" w:rsidRDefault="00EA4087" w:rsidP="00D97140">
      <w:pPr>
        <w:tabs>
          <w:tab w:val="left" w:pos="2160"/>
          <w:tab w:val="left" w:pos="6840"/>
        </w:tabs>
        <w:jc w:val="both"/>
        <w:rPr>
          <w:b/>
          <w:i/>
        </w:rPr>
      </w:pPr>
      <w:r>
        <w:rPr>
          <w:b/>
        </w:rPr>
        <w:t>Oct. 30, 2014</w:t>
      </w:r>
      <w:r>
        <w:rPr>
          <w:b/>
        </w:rPr>
        <w:tab/>
      </w:r>
      <w:r w:rsidR="004872CE">
        <w:rPr>
          <w:b/>
        </w:rPr>
        <w:t>CoC Application Submitted to HUD</w:t>
      </w:r>
      <w:r w:rsidR="006137D7">
        <w:rPr>
          <w:b/>
        </w:rPr>
        <w:t xml:space="preserve"> in </w:t>
      </w:r>
      <w:r w:rsidR="006137D7" w:rsidRPr="006137D7">
        <w:rPr>
          <w:b/>
          <w:i/>
        </w:rPr>
        <w:t>esnaps</w:t>
      </w:r>
      <w:r w:rsidR="00983F87">
        <w:rPr>
          <w:b/>
          <w:i/>
        </w:rPr>
        <w:t xml:space="preserve"> </w:t>
      </w:r>
      <w:r w:rsidR="00D97140">
        <w:rPr>
          <w:b/>
          <w:i/>
        </w:rPr>
        <w:tab/>
      </w:r>
    </w:p>
    <w:p w:rsidR="00D97140" w:rsidRDefault="00D97140" w:rsidP="00D97140">
      <w:pPr>
        <w:tabs>
          <w:tab w:val="left" w:pos="2160"/>
          <w:tab w:val="left" w:pos="6840"/>
        </w:tabs>
        <w:jc w:val="both"/>
        <w:rPr>
          <w:b/>
          <w:i/>
        </w:rPr>
        <w:sectPr w:rsidR="00D97140" w:rsidSect="00D97140">
          <w:footerReference w:type="default" r:id="rId15"/>
          <w:footerReference w:type="first" r:id="rId16"/>
          <w:type w:val="continuous"/>
          <w:pgSz w:w="12240" w:h="15840"/>
          <w:pgMar w:top="1440" w:right="1440" w:bottom="1440" w:left="1440" w:header="720" w:footer="720" w:gutter="0"/>
          <w:cols w:space="720"/>
          <w:titlePg/>
          <w:docGrid w:linePitch="360"/>
        </w:sectPr>
      </w:pPr>
    </w:p>
    <w:p w:rsidR="00072FBC" w:rsidRDefault="00072FBC" w:rsidP="00D97140">
      <w:pPr>
        <w:sectPr w:rsidR="00072FBC" w:rsidSect="00D61A80">
          <w:type w:val="continuous"/>
          <w:pgSz w:w="12240" w:h="15840"/>
          <w:pgMar w:top="1152" w:right="720" w:bottom="720" w:left="720" w:header="720" w:footer="720" w:gutter="0"/>
          <w:cols w:space="720"/>
          <w:titlePg/>
          <w:docGrid w:linePitch="360"/>
        </w:sectPr>
      </w:pPr>
    </w:p>
    <w:tbl>
      <w:tblPr>
        <w:tblStyle w:val="TableGrid"/>
        <w:tblpPr w:leftFromText="180" w:rightFromText="180" w:vertAnchor="text" w:horzAnchor="margin" w:tblpX="108" w:tblpY="91"/>
        <w:tblOverlap w:val="never"/>
        <w:tblW w:w="10728" w:type="dxa"/>
        <w:tblLook w:val="04A0" w:firstRow="1" w:lastRow="0" w:firstColumn="1" w:lastColumn="0" w:noHBand="0" w:noVBand="1"/>
      </w:tblPr>
      <w:tblGrid>
        <w:gridCol w:w="1872"/>
        <w:gridCol w:w="3780"/>
        <w:gridCol w:w="5076"/>
      </w:tblGrid>
      <w:tr w:rsidR="00826232" w:rsidRPr="00F441D2" w:rsidTr="00072FBC">
        <w:tc>
          <w:tcPr>
            <w:tcW w:w="10728" w:type="dxa"/>
            <w:gridSpan w:val="3"/>
            <w:shd w:val="clear" w:color="auto" w:fill="1F497D" w:themeFill="text2"/>
            <w:vAlign w:val="center"/>
          </w:tcPr>
          <w:p w:rsidR="00826232" w:rsidRDefault="00DE3051" w:rsidP="00072FBC">
            <w:pPr>
              <w:spacing w:before="60" w:after="60"/>
              <w:jc w:val="center"/>
              <w:rPr>
                <w:b/>
                <w:color w:val="FFFFFF" w:themeColor="background1"/>
                <w:sz w:val="24"/>
                <w:szCs w:val="24"/>
              </w:rPr>
            </w:pPr>
            <w:r>
              <w:lastRenderedPageBreak/>
              <w:br w:type="page"/>
            </w:r>
            <w:r>
              <w:br w:type="page"/>
            </w:r>
            <w:r w:rsidR="00826232" w:rsidRPr="006137D7">
              <w:rPr>
                <w:b/>
                <w:color w:val="FFFFFF" w:themeColor="background1"/>
                <w:sz w:val="24"/>
                <w:szCs w:val="24"/>
              </w:rPr>
              <w:t>SCORING FOR RENEWAL</w:t>
            </w:r>
            <w:r w:rsidR="00EA4087">
              <w:rPr>
                <w:b/>
                <w:color w:val="FFFFFF" w:themeColor="background1"/>
                <w:sz w:val="24"/>
                <w:szCs w:val="24"/>
              </w:rPr>
              <w:t>/REALLOCATION</w:t>
            </w:r>
            <w:r w:rsidR="00826232" w:rsidRPr="006137D7">
              <w:rPr>
                <w:b/>
                <w:color w:val="FFFFFF" w:themeColor="background1"/>
                <w:sz w:val="24"/>
                <w:szCs w:val="24"/>
              </w:rPr>
              <w:t xml:space="preserve"> APPLICATIONS</w:t>
            </w:r>
            <w:r w:rsidR="008C397C">
              <w:rPr>
                <w:b/>
                <w:color w:val="FFFFFF" w:themeColor="background1"/>
                <w:sz w:val="24"/>
                <w:szCs w:val="24"/>
              </w:rPr>
              <w:t xml:space="preserve"> FOR </w:t>
            </w:r>
            <w:r w:rsidR="00EA4087">
              <w:rPr>
                <w:b/>
                <w:color w:val="FFFFFF" w:themeColor="background1"/>
                <w:sz w:val="24"/>
                <w:szCs w:val="24"/>
              </w:rPr>
              <w:t>FY2014</w:t>
            </w:r>
            <w:r>
              <w:rPr>
                <w:b/>
                <w:color w:val="FFFFFF" w:themeColor="background1"/>
                <w:sz w:val="24"/>
                <w:szCs w:val="24"/>
              </w:rPr>
              <w:t xml:space="preserve"> COC PROGRAM COMPETITION </w:t>
            </w:r>
          </w:p>
          <w:p w:rsidR="005179EC" w:rsidRPr="005179EC" w:rsidRDefault="005179EC" w:rsidP="00072FBC">
            <w:pPr>
              <w:spacing w:before="60" w:after="60"/>
              <w:jc w:val="center"/>
            </w:pPr>
            <w:r w:rsidRPr="005179EC">
              <w:rPr>
                <w:color w:val="FFFFFF" w:themeColor="background1"/>
              </w:rPr>
              <w:t>Total points available: 100</w:t>
            </w:r>
            <w:r w:rsidR="00EA4087">
              <w:rPr>
                <w:color w:val="FFFFFF" w:themeColor="background1"/>
              </w:rPr>
              <w:t xml:space="preserve"> </w:t>
            </w:r>
          </w:p>
        </w:tc>
      </w:tr>
      <w:tr w:rsidR="00D61A80" w:rsidRPr="00F441D2" w:rsidTr="00072FBC">
        <w:tc>
          <w:tcPr>
            <w:tcW w:w="1872" w:type="dxa"/>
            <w:vMerge w:val="restart"/>
            <w:shd w:val="clear" w:color="auto" w:fill="F2F2F2" w:themeFill="background1" w:themeFillShade="F2"/>
            <w:vAlign w:val="center"/>
          </w:tcPr>
          <w:p w:rsidR="001F15F8" w:rsidRDefault="00096A89" w:rsidP="00072FBC">
            <w:pPr>
              <w:spacing w:before="60"/>
              <w:rPr>
                <w:b/>
                <w:sz w:val="20"/>
                <w:szCs w:val="20"/>
              </w:rPr>
            </w:pPr>
            <w:r w:rsidRPr="006137D7">
              <w:rPr>
                <w:b/>
                <w:sz w:val="24"/>
                <w:szCs w:val="24"/>
              </w:rPr>
              <w:t>PROGRAM</w:t>
            </w:r>
            <w:r>
              <w:rPr>
                <w:b/>
                <w:sz w:val="20"/>
                <w:szCs w:val="20"/>
              </w:rPr>
              <w:t xml:space="preserve"> </w:t>
            </w:r>
          </w:p>
          <w:p w:rsidR="00096A89" w:rsidRPr="006137D7" w:rsidRDefault="00BE4303" w:rsidP="00072FBC">
            <w:pPr>
              <w:spacing w:before="60"/>
              <w:rPr>
                <w:sz w:val="20"/>
                <w:szCs w:val="20"/>
              </w:rPr>
            </w:pPr>
            <w:r>
              <w:rPr>
                <w:sz w:val="20"/>
                <w:szCs w:val="20"/>
              </w:rPr>
              <w:t>36</w:t>
            </w:r>
            <w:r w:rsidR="00096A89" w:rsidRPr="006137D7">
              <w:rPr>
                <w:sz w:val="20"/>
                <w:szCs w:val="20"/>
              </w:rPr>
              <w:t xml:space="preserve"> points</w:t>
            </w:r>
          </w:p>
          <w:p w:rsidR="00096A89" w:rsidRPr="004E7DB4" w:rsidRDefault="00096A89" w:rsidP="00072FBC">
            <w:pPr>
              <w:spacing w:before="60"/>
              <w:rPr>
                <w:i/>
                <w:sz w:val="20"/>
                <w:szCs w:val="20"/>
              </w:rPr>
            </w:pPr>
            <w:r w:rsidRPr="004E7DB4">
              <w:rPr>
                <w:i/>
                <w:sz w:val="20"/>
                <w:szCs w:val="20"/>
              </w:rPr>
              <w:t xml:space="preserve">Source:   </w:t>
            </w:r>
          </w:p>
          <w:p w:rsidR="00096A89" w:rsidRPr="00F441D2" w:rsidRDefault="00096A89" w:rsidP="00072FBC">
            <w:pPr>
              <w:spacing w:after="60"/>
              <w:rPr>
                <w:sz w:val="20"/>
                <w:szCs w:val="20"/>
              </w:rPr>
            </w:pPr>
            <w:r w:rsidRPr="00F441D2">
              <w:rPr>
                <w:sz w:val="20"/>
                <w:szCs w:val="20"/>
              </w:rPr>
              <w:t>Project Application</w:t>
            </w:r>
            <w:r w:rsidR="001F15F8">
              <w:rPr>
                <w:sz w:val="20"/>
                <w:szCs w:val="20"/>
              </w:rPr>
              <w:t xml:space="preserve">, </w:t>
            </w:r>
            <w:r w:rsidRPr="00F441D2">
              <w:rPr>
                <w:sz w:val="20"/>
                <w:szCs w:val="20"/>
              </w:rPr>
              <w:t>Supplemental Survey</w:t>
            </w:r>
          </w:p>
          <w:p w:rsidR="00096A89" w:rsidRPr="00F441D2" w:rsidRDefault="00096A89" w:rsidP="00072FBC">
            <w:pPr>
              <w:spacing w:before="60" w:after="60"/>
              <w:rPr>
                <w:sz w:val="20"/>
                <w:szCs w:val="20"/>
              </w:rPr>
            </w:pPr>
          </w:p>
        </w:tc>
        <w:tc>
          <w:tcPr>
            <w:tcW w:w="3780" w:type="dxa"/>
            <w:shd w:val="clear" w:color="auto" w:fill="F2F2F2" w:themeFill="background1" w:themeFillShade="F2"/>
          </w:tcPr>
          <w:p w:rsidR="00096A89" w:rsidRPr="00F441D2" w:rsidRDefault="00096A89" w:rsidP="00EA4087">
            <w:pPr>
              <w:spacing w:before="60" w:after="60"/>
              <w:rPr>
                <w:sz w:val="20"/>
                <w:szCs w:val="20"/>
              </w:rPr>
            </w:pPr>
            <w:r w:rsidRPr="00F441D2">
              <w:rPr>
                <w:sz w:val="20"/>
                <w:szCs w:val="20"/>
              </w:rPr>
              <w:t>Program Type</w:t>
            </w:r>
            <w:r>
              <w:rPr>
                <w:sz w:val="20"/>
                <w:szCs w:val="20"/>
              </w:rPr>
              <w:t xml:space="preserve"> (up to 1</w:t>
            </w:r>
            <w:r w:rsidR="00771434">
              <w:rPr>
                <w:sz w:val="20"/>
                <w:szCs w:val="20"/>
              </w:rPr>
              <w:t>0</w:t>
            </w:r>
            <w:r>
              <w:rPr>
                <w:sz w:val="20"/>
                <w:szCs w:val="20"/>
              </w:rPr>
              <w:t xml:space="preserve"> points)</w:t>
            </w:r>
          </w:p>
        </w:tc>
        <w:tc>
          <w:tcPr>
            <w:tcW w:w="5076" w:type="dxa"/>
            <w:shd w:val="clear" w:color="auto" w:fill="F2F2F2" w:themeFill="background1" w:themeFillShade="F2"/>
          </w:tcPr>
          <w:p w:rsidR="00EA4087" w:rsidRDefault="00096A89" w:rsidP="00EA4087">
            <w:pPr>
              <w:spacing w:before="60"/>
              <w:rPr>
                <w:sz w:val="20"/>
                <w:szCs w:val="20"/>
              </w:rPr>
            </w:pPr>
            <w:r w:rsidRPr="00F441D2">
              <w:rPr>
                <w:sz w:val="20"/>
                <w:szCs w:val="20"/>
              </w:rPr>
              <w:t>P</w:t>
            </w:r>
            <w:r w:rsidR="00EA4087">
              <w:rPr>
                <w:sz w:val="20"/>
                <w:szCs w:val="20"/>
              </w:rPr>
              <w:t>ermanent Supportive Housing</w:t>
            </w:r>
            <w:r w:rsidR="000119A5">
              <w:rPr>
                <w:sz w:val="20"/>
                <w:szCs w:val="20"/>
              </w:rPr>
              <w:t>—</w:t>
            </w:r>
            <w:r w:rsidR="00771434">
              <w:rPr>
                <w:sz w:val="20"/>
                <w:szCs w:val="20"/>
              </w:rPr>
              <w:t>10</w:t>
            </w:r>
            <w:r w:rsidR="000119A5">
              <w:rPr>
                <w:sz w:val="20"/>
                <w:szCs w:val="20"/>
              </w:rPr>
              <w:t xml:space="preserve"> points</w:t>
            </w:r>
          </w:p>
          <w:p w:rsidR="000119A5" w:rsidRDefault="000119A5" w:rsidP="00EA4087">
            <w:pPr>
              <w:spacing w:before="60"/>
              <w:rPr>
                <w:sz w:val="20"/>
                <w:szCs w:val="20"/>
              </w:rPr>
            </w:pPr>
            <w:r>
              <w:rPr>
                <w:sz w:val="20"/>
                <w:szCs w:val="20"/>
              </w:rPr>
              <w:t>Rapid Rehousing for homeless families—</w:t>
            </w:r>
            <w:r w:rsidR="00771434">
              <w:rPr>
                <w:sz w:val="20"/>
                <w:szCs w:val="20"/>
              </w:rPr>
              <w:t>10</w:t>
            </w:r>
            <w:r>
              <w:rPr>
                <w:sz w:val="20"/>
                <w:szCs w:val="20"/>
              </w:rPr>
              <w:t xml:space="preserve"> points</w:t>
            </w:r>
          </w:p>
          <w:p w:rsidR="00096A89" w:rsidRDefault="00EA4087" w:rsidP="000119A5">
            <w:pPr>
              <w:spacing w:before="60"/>
              <w:rPr>
                <w:sz w:val="20"/>
                <w:szCs w:val="20"/>
              </w:rPr>
            </w:pPr>
            <w:r>
              <w:rPr>
                <w:sz w:val="20"/>
                <w:szCs w:val="20"/>
              </w:rPr>
              <w:t>Transitional Housing</w:t>
            </w:r>
            <w:r w:rsidR="000119A5">
              <w:rPr>
                <w:sz w:val="20"/>
                <w:szCs w:val="20"/>
              </w:rPr>
              <w:t xml:space="preserve"> for </w:t>
            </w:r>
            <w:r>
              <w:rPr>
                <w:sz w:val="20"/>
                <w:szCs w:val="20"/>
              </w:rPr>
              <w:t xml:space="preserve"> Youth</w:t>
            </w:r>
            <w:r w:rsidR="00096A89">
              <w:rPr>
                <w:sz w:val="20"/>
                <w:szCs w:val="20"/>
              </w:rPr>
              <w:t xml:space="preserve"> – 1</w:t>
            </w:r>
            <w:r w:rsidR="00771434">
              <w:rPr>
                <w:sz w:val="20"/>
                <w:szCs w:val="20"/>
              </w:rPr>
              <w:t>0</w:t>
            </w:r>
            <w:r w:rsidR="00096A89">
              <w:rPr>
                <w:sz w:val="20"/>
                <w:szCs w:val="20"/>
              </w:rPr>
              <w:t xml:space="preserve"> points</w:t>
            </w:r>
          </w:p>
          <w:p w:rsidR="000119A5" w:rsidRPr="00F441D2" w:rsidRDefault="000119A5" w:rsidP="000119A5">
            <w:pPr>
              <w:spacing w:before="60"/>
              <w:rPr>
                <w:sz w:val="20"/>
                <w:szCs w:val="20"/>
              </w:rPr>
            </w:pPr>
            <w:r>
              <w:rPr>
                <w:sz w:val="20"/>
                <w:szCs w:val="20"/>
              </w:rPr>
              <w:t>Other—0</w:t>
            </w:r>
          </w:p>
        </w:tc>
      </w:tr>
      <w:tr w:rsidR="00EA4087" w:rsidRPr="00F441D2" w:rsidTr="00072FBC">
        <w:tc>
          <w:tcPr>
            <w:tcW w:w="1872" w:type="dxa"/>
            <w:vMerge/>
            <w:shd w:val="clear" w:color="auto" w:fill="F2F2F2" w:themeFill="background1" w:themeFillShade="F2"/>
          </w:tcPr>
          <w:p w:rsidR="00EA4087" w:rsidRPr="00F441D2" w:rsidRDefault="00EA4087" w:rsidP="00072FBC">
            <w:pPr>
              <w:spacing w:before="60" w:after="60"/>
              <w:rPr>
                <w:sz w:val="20"/>
                <w:szCs w:val="20"/>
              </w:rPr>
            </w:pPr>
          </w:p>
        </w:tc>
        <w:tc>
          <w:tcPr>
            <w:tcW w:w="3780" w:type="dxa"/>
            <w:shd w:val="clear" w:color="auto" w:fill="F2F2F2" w:themeFill="background1" w:themeFillShade="F2"/>
          </w:tcPr>
          <w:p w:rsidR="00EA4087" w:rsidRDefault="00EA4087" w:rsidP="00072FBC">
            <w:pPr>
              <w:spacing w:before="60" w:after="60"/>
              <w:rPr>
                <w:sz w:val="20"/>
                <w:szCs w:val="20"/>
              </w:rPr>
            </w:pPr>
            <w:r>
              <w:rPr>
                <w:sz w:val="20"/>
                <w:szCs w:val="20"/>
              </w:rPr>
              <w:t>Population Served</w:t>
            </w:r>
            <w:r w:rsidR="00771434">
              <w:rPr>
                <w:sz w:val="20"/>
                <w:szCs w:val="20"/>
              </w:rPr>
              <w:t xml:space="preserve"> (up to 8 points)</w:t>
            </w:r>
          </w:p>
        </w:tc>
        <w:tc>
          <w:tcPr>
            <w:tcW w:w="5076" w:type="dxa"/>
            <w:shd w:val="clear" w:color="auto" w:fill="F2F2F2" w:themeFill="background1" w:themeFillShade="F2"/>
          </w:tcPr>
          <w:p w:rsidR="00EA4087" w:rsidRDefault="00EA4087" w:rsidP="00072FBC">
            <w:pPr>
              <w:spacing w:before="60"/>
              <w:rPr>
                <w:sz w:val="20"/>
                <w:szCs w:val="20"/>
              </w:rPr>
            </w:pPr>
            <w:r>
              <w:rPr>
                <w:sz w:val="20"/>
                <w:szCs w:val="20"/>
              </w:rPr>
              <w:t>If PSH: 100% Chronically Homeless</w:t>
            </w:r>
            <w:r w:rsidR="00771434">
              <w:rPr>
                <w:sz w:val="20"/>
                <w:szCs w:val="20"/>
              </w:rPr>
              <w:t>—8 points</w:t>
            </w:r>
          </w:p>
          <w:p w:rsidR="00771434" w:rsidRDefault="00771434" w:rsidP="00072FBC">
            <w:pPr>
              <w:spacing w:before="60"/>
              <w:rPr>
                <w:sz w:val="20"/>
                <w:szCs w:val="20"/>
              </w:rPr>
            </w:pPr>
            <w:r>
              <w:rPr>
                <w:sz w:val="20"/>
                <w:szCs w:val="20"/>
              </w:rPr>
              <w:t>If RRH: 100% Families in shelter—8 points</w:t>
            </w:r>
          </w:p>
          <w:p w:rsidR="00771434" w:rsidRDefault="00771434" w:rsidP="00072FBC">
            <w:pPr>
              <w:spacing w:before="60"/>
              <w:rPr>
                <w:sz w:val="20"/>
                <w:szCs w:val="20"/>
              </w:rPr>
            </w:pPr>
            <w:r>
              <w:rPr>
                <w:sz w:val="20"/>
                <w:szCs w:val="20"/>
              </w:rPr>
              <w:t>Transitional Housing: Youth Up to Age 24—8 points</w:t>
            </w:r>
          </w:p>
          <w:p w:rsidR="00771434" w:rsidRDefault="00771434" w:rsidP="00072FBC">
            <w:pPr>
              <w:spacing w:before="60"/>
              <w:rPr>
                <w:sz w:val="20"/>
                <w:szCs w:val="20"/>
              </w:rPr>
            </w:pPr>
            <w:r>
              <w:rPr>
                <w:sz w:val="20"/>
                <w:szCs w:val="20"/>
              </w:rPr>
              <w:t>Other—0 points</w:t>
            </w:r>
          </w:p>
        </w:tc>
      </w:tr>
      <w:tr w:rsidR="00D61A80" w:rsidRPr="00F441D2" w:rsidTr="00072FBC">
        <w:tc>
          <w:tcPr>
            <w:tcW w:w="1872" w:type="dxa"/>
            <w:vMerge/>
            <w:shd w:val="clear" w:color="auto" w:fill="F2F2F2" w:themeFill="background1" w:themeFillShade="F2"/>
          </w:tcPr>
          <w:p w:rsidR="00096A89" w:rsidRPr="00F441D2" w:rsidRDefault="00096A89" w:rsidP="00072FBC">
            <w:pPr>
              <w:spacing w:before="60" w:after="60"/>
              <w:rPr>
                <w:sz w:val="20"/>
                <w:szCs w:val="20"/>
              </w:rPr>
            </w:pPr>
          </w:p>
        </w:tc>
        <w:tc>
          <w:tcPr>
            <w:tcW w:w="3780" w:type="dxa"/>
            <w:shd w:val="clear" w:color="auto" w:fill="F2F2F2" w:themeFill="background1" w:themeFillShade="F2"/>
          </w:tcPr>
          <w:p w:rsidR="00096A89" w:rsidRDefault="00096A89" w:rsidP="00072FBC">
            <w:pPr>
              <w:spacing w:before="60" w:after="60"/>
              <w:rPr>
                <w:sz w:val="20"/>
                <w:szCs w:val="20"/>
              </w:rPr>
            </w:pPr>
            <w:r>
              <w:rPr>
                <w:sz w:val="20"/>
                <w:szCs w:val="20"/>
              </w:rPr>
              <w:t>Contributes to geographi</w:t>
            </w:r>
            <w:r w:rsidR="00BE4303">
              <w:rPr>
                <w:sz w:val="20"/>
                <w:szCs w:val="20"/>
              </w:rPr>
              <w:t>c diversity of services (up to 5</w:t>
            </w:r>
            <w:r>
              <w:rPr>
                <w:sz w:val="20"/>
                <w:szCs w:val="20"/>
              </w:rPr>
              <w:t xml:space="preserve"> points)</w:t>
            </w:r>
          </w:p>
        </w:tc>
        <w:tc>
          <w:tcPr>
            <w:tcW w:w="5076" w:type="dxa"/>
            <w:shd w:val="clear" w:color="auto" w:fill="F2F2F2" w:themeFill="background1" w:themeFillShade="F2"/>
          </w:tcPr>
          <w:p w:rsidR="00096A89" w:rsidRDefault="00096A89" w:rsidP="00072FBC">
            <w:pPr>
              <w:spacing w:before="60"/>
              <w:rPr>
                <w:sz w:val="20"/>
                <w:szCs w:val="20"/>
              </w:rPr>
            </w:pPr>
            <w:r>
              <w:rPr>
                <w:sz w:val="20"/>
                <w:szCs w:val="20"/>
              </w:rPr>
              <w:t>Largely underserved location –</w:t>
            </w:r>
            <w:r w:rsidR="00BE4303">
              <w:rPr>
                <w:sz w:val="20"/>
                <w:szCs w:val="20"/>
              </w:rPr>
              <w:t>5</w:t>
            </w:r>
            <w:r w:rsidR="007A0306">
              <w:rPr>
                <w:sz w:val="20"/>
                <w:szCs w:val="20"/>
              </w:rPr>
              <w:t xml:space="preserve"> </w:t>
            </w:r>
            <w:r>
              <w:rPr>
                <w:sz w:val="20"/>
                <w:szCs w:val="20"/>
              </w:rPr>
              <w:t>points</w:t>
            </w:r>
          </w:p>
          <w:p w:rsidR="00096A89" w:rsidRDefault="00096A89" w:rsidP="00072FBC">
            <w:pPr>
              <w:spacing w:after="60"/>
              <w:rPr>
                <w:sz w:val="20"/>
                <w:szCs w:val="20"/>
              </w:rPr>
            </w:pPr>
            <w:r>
              <w:rPr>
                <w:sz w:val="20"/>
                <w:szCs w:val="20"/>
              </w:rPr>
              <w:t xml:space="preserve">Moderately underserved location – </w:t>
            </w:r>
            <w:r w:rsidR="00771434">
              <w:rPr>
                <w:sz w:val="20"/>
                <w:szCs w:val="20"/>
              </w:rPr>
              <w:t>2</w:t>
            </w:r>
            <w:r>
              <w:rPr>
                <w:sz w:val="20"/>
                <w:szCs w:val="20"/>
              </w:rPr>
              <w:t xml:space="preserve"> points</w:t>
            </w:r>
          </w:p>
          <w:p w:rsidR="00771434" w:rsidRDefault="00771434" w:rsidP="00072FBC">
            <w:pPr>
              <w:spacing w:after="60"/>
              <w:rPr>
                <w:sz w:val="20"/>
                <w:szCs w:val="20"/>
              </w:rPr>
            </w:pPr>
            <w:r>
              <w:rPr>
                <w:sz w:val="20"/>
                <w:szCs w:val="20"/>
              </w:rPr>
              <w:t>Other—0 points</w:t>
            </w:r>
          </w:p>
        </w:tc>
      </w:tr>
      <w:tr w:rsidR="00D61A80" w:rsidRPr="00F441D2" w:rsidTr="00072FBC">
        <w:tc>
          <w:tcPr>
            <w:tcW w:w="1872" w:type="dxa"/>
            <w:vMerge/>
            <w:shd w:val="clear" w:color="auto" w:fill="F2F2F2" w:themeFill="background1" w:themeFillShade="F2"/>
          </w:tcPr>
          <w:p w:rsidR="00096A89" w:rsidRPr="00F441D2" w:rsidRDefault="00096A89" w:rsidP="00072FBC">
            <w:pPr>
              <w:spacing w:before="60" w:after="60"/>
              <w:rPr>
                <w:sz w:val="20"/>
                <w:szCs w:val="20"/>
              </w:rPr>
            </w:pPr>
          </w:p>
        </w:tc>
        <w:tc>
          <w:tcPr>
            <w:tcW w:w="3780" w:type="dxa"/>
            <w:shd w:val="clear" w:color="auto" w:fill="F2F2F2" w:themeFill="background1" w:themeFillShade="F2"/>
          </w:tcPr>
          <w:p w:rsidR="00096A89" w:rsidRPr="00F441D2" w:rsidRDefault="00EA4087" w:rsidP="00771434">
            <w:pPr>
              <w:spacing w:before="60" w:after="60"/>
              <w:rPr>
                <w:sz w:val="20"/>
                <w:szCs w:val="20"/>
              </w:rPr>
            </w:pPr>
            <w:r>
              <w:rPr>
                <w:sz w:val="20"/>
                <w:szCs w:val="20"/>
              </w:rPr>
              <w:t xml:space="preserve">Commits to </w:t>
            </w:r>
            <w:r w:rsidR="00771434">
              <w:rPr>
                <w:sz w:val="20"/>
                <w:szCs w:val="20"/>
              </w:rPr>
              <w:t xml:space="preserve">use Coordinated Assessment: </w:t>
            </w:r>
            <w:r>
              <w:rPr>
                <w:sz w:val="20"/>
                <w:szCs w:val="20"/>
              </w:rPr>
              <w:t xml:space="preserve">VI-SPDAT and </w:t>
            </w:r>
            <w:r w:rsidR="000119A5">
              <w:rPr>
                <w:sz w:val="20"/>
                <w:szCs w:val="20"/>
              </w:rPr>
              <w:t>prioritization (up to 5 points)</w:t>
            </w:r>
          </w:p>
        </w:tc>
        <w:tc>
          <w:tcPr>
            <w:tcW w:w="5076" w:type="dxa"/>
            <w:shd w:val="clear" w:color="auto" w:fill="F2F2F2" w:themeFill="background1" w:themeFillShade="F2"/>
          </w:tcPr>
          <w:p w:rsidR="000119A5" w:rsidRDefault="000119A5" w:rsidP="00072FBC">
            <w:pPr>
              <w:spacing w:after="60"/>
              <w:rPr>
                <w:sz w:val="20"/>
                <w:szCs w:val="20"/>
              </w:rPr>
            </w:pPr>
            <w:r>
              <w:rPr>
                <w:sz w:val="20"/>
                <w:szCs w:val="20"/>
              </w:rPr>
              <w:t>Yes – 5 points</w:t>
            </w:r>
          </w:p>
          <w:p w:rsidR="000119A5" w:rsidRPr="00F441D2" w:rsidRDefault="000119A5" w:rsidP="00072FBC">
            <w:pPr>
              <w:spacing w:after="60"/>
              <w:rPr>
                <w:sz w:val="20"/>
                <w:szCs w:val="20"/>
              </w:rPr>
            </w:pPr>
            <w:r>
              <w:rPr>
                <w:sz w:val="20"/>
                <w:szCs w:val="20"/>
              </w:rPr>
              <w:t>No—0 points</w:t>
            </w:r>
          </w:p>
        </w:tc>
      </w:tr>
      <w:tr w:rsidR="00AB391A" w:rsidRPr="00F441D2" w:rsidTr="00072FBC">
        <w:trPr>
          <w:trHeight w:val="638"/>
        </w:trPr>
        <w:tc>
          <w:tcPr>
            <w:tcW w:w="1872" w:type="dxa"/>
            <w:vMerge/>
            <w:shd w:val="clear" w:color="auto" w:fill="F2F2F2" w:themeFill="background1" w:themeFillShade="F2"/>
          </w:tcPr>
          <w:p w:rsidR="00AB391A" w:rsidRPr="00F441D2" w:rsidRDefault="00AB391A" w:rsidP="00072FBC">
            <w:pPr>
              <w:spacing w:before="60" w:after="60"/>
              <w:rPr>
                <w:sz w:val="20"/>
                <w:szCs w:val="20"/>
              </w:rPr>
            </w:pPr>
          </w:p>
        </w:tc>
        <w:tc>
          <w:tcPr>
            <w:tcW w:w="3780" w:type="dxa"/>
            <w:shd w:val="clear" w:color="auto" w:fill="F2F2F2" w:themeFill="background1" w:themeFillShade="F2"/>
          </w:tcPr>
          <w:p w:rsidR="00AB391A" w:rsidRDefault="000119A5" w:rsidP="00E66FB6">
            <w:pPr>
              <w:spacing w:before="60" w:after="60"/>
              <w:rPr>
                <w:sz w:val="20"/>
                <w:szCs w:val="20"/>
              </w:rPr>
            </w:pPr>
            <w:r>
              <w:rPr>
                <w:sz w:val="20"/>
                <w:szCs w:val="20"/>
              </w:rPr>
              <w:t>Commits to use of a Housing First model (up to 5 points)</w:t>
            </w:r>
          </w:p>
        </w:tc>
        <w:tc>
          <w:tcPr>
            <w:tcW w:w="5076" w:type="dxa"/>
            <w:shd w:val="clear" w:color="auto" w:fill="F2F2F2" w:themeFill="background1" w:themeFillShade="F2"/>
          </w:tcPr>
          <w:p w:rsidR="00AB391A" w:rsidRDefault="000119A5" w:rsidP="006E3ABF">
            <w:pPr>
              <w:spacing w:before="60" w:after="60"/>
              <w:rPr>
                <w:sz w:val="20"/>
                <w:szCs w:val="20"/>
              </w:rPr>
            </w:pPr>
            <w:r>
              <w:rPr>
                <w:sz w:val="20"/>
                <w:szCs w:val="20"/>
              </w:rPr>
              <w:t>Yes—5 points</w:t>
            </w:r>
          </w:p>
          <w:p w:rsidR="000119A5" w:rsidRDefault="000119A5" w:rsidP="006E3ABF">
            <w:pPr>
              <w:spacing w:before="60" w:after="60"/>
              <w:rPr>
                <w:sz w:val="20"/>
                <w:szCs w:val="20"/>
              </w:rPr>
            </w:pPr>
            <w:r>
              <w:rPr>
                <w:sz w:val="20"/>
                <w:szCs w:val="20"/>
              </w:rPr>
              <w:t>No—0 points</w:t>
            </w:r>
          </w:p>
        </w:tc>
      </w:tr>
      <w:tr w:rsidR="00D61A80" w:rsidRPr="00F441D2" w:rsidTr="00072FBC">
        <w:tc>
          <w:tcPr>
            <w:tcW w:w="1872" w:type="dxa"/>
            <w:vMerge/>
            <w:shd w:val="clear" w:color="auto" w:fill="F2F2F2" w:themeFill="background1" w:themeFillShade="F2"/>
          </w:tcPr>
          <w:p w:rsidR="00096A89" w:rsidRPr="00F441D2" w:rsidRDefault="00096A89" w:rsidP="00072FBC">
            <w:pPr>
              <w:spacing w:before="60" w:after="60"/>
              <w:rPr>
                <w:sz w:val="20"/>
                <w:szCs w:val="20"/>
              </w:rPr>
            </w:pPr>
          </w:p>
        </w:tc>
        <w:tc>
          <w:tcPr>
            <w:tcW w:w="3780" w:type="dxa"/>
            <w:shd w:val="clear" w:color="auto" w:fill="F2F2F2" w:themeFill="background1" w:themeFillShade="F2"/>
          </w:tcPr>
          <w:p w:rsidR="00096A89" w:rsidRDefault="00D97140" w:rsidP="00771434">
            <w:pPr>
              <w:spacing w:before="60" w:after="60"/>
              <w:rPr>
                <w:sz w:val="20"/>
                <w:szCs w:val="20"/>
              </w:rPr>
            </w:pPr>
            <w:r>
              <w:rPr>
                <w:sz w:val="20"/>
                <w:szCs w:val="20"/>
              </w:rPr>
              <w:t>Type of site/building</w:t>
            </w:r>
            <w:r w:rsidR="00096A89">
              <w:rPr>
                <w:sz w:val="20"/>
                <w:szCs w:val="20"/>
              </w:rPr>
              <w:t xml:space="preserve"> –</w:t>
            </w:r>
            <w:r w:rsidR="00771434">
              <w:rPr>
                <w:sz w:val="20"/>
                <w:szCs w:val="20"/>
              </w:rPr>
              <w:t>(3</w:t>
            </w:r>
            <w:r w:rsidR="00096A89">
              <w:rPr>
                <w:sz w:val="20"/>
                <w:szCs w:val="20"/>
              </w:rPr>
              <w:t>points</w:t>
            </w:r>
            <w:r w:rsidR="006E3ABF">
              <w:rPr>
                <w:sz w:val="20"/>
                <w:szCs w:val="20"/>
              </w:rPr>
              <w:t>)</w:t>
            </w:r>
          </w:p>
        </w:tc>
        <w:tc>
          <w:tcPr>
            <w:tcW w:w="5076" w:type="dxa"/>
            <w:shd w:val="clear" w:color="auto" w:fill="F2F2F2" w:themeFill="background1" w:themeFillShade="F2"/>
          </w:tcPr>
          <w:p w:rsidR="00096A89" w:rsidRDefault="00096A89" w:rsidP="00771434">
            <w:pPr>
              <w:spacing w:before="60"/>
              <w:rPr>
                <w:sz w:val="20"/>
                <w:szCs w:val="20"/>
              </w:rPr>
            </w:pPr>
            <w:r>
              <w:rPr>
                <w:sz w:val="20"/>
                <w:szCs w:val="20"/>
              </w:rPr>
              <w:t xml:space="preserve">Scattered site program </w:t>
            </w:r>
            <w:r w:rsidR="00BE4303" w:rsidRPr="006E3ABF">
              <w:rPr>
                <w:sz w:val="20"/>
                <w:szCs w:val="20"/>
                <w:u w:val="single"/>
              </w:rPr>
              <w:t>OR</w:t>
            </w:r>
            <w:r w:rsidR="00BE4303">
              <w:rPr>
                <w:sz w:val="20"/>
                <w:szCs w:val="20"/>
              </w:rPr>
              <w:t xml:space="preserve"> program </w:t>
            </w:r>
            <w:r w:rsidR="00291061">
              <w:rPr>
                <w:sz w:val="20"/>
                <w:szCs w:val="20"/>
              </w:rPr>
              <w:t xml:space="preserve">operates in a building </w:t>
            </w:r>
            <w:r>
              <w:rPr>
                <w:sz w:val="20"/>
                <w:szCs w:val="20"/>
              </w:rPr>
              <w:t xml:space="preserve">subject to CoC deed restriction –  </w:t>
            </w:r>
            <w:r w:rsidR="00771434">
              <w:rPr>
                <w:sz w:val="20"/>
                <w:szCs w:val="20"/>
              </w:rPr>
              <w:t>3</w:t>
            </w:r>
            <w:r w:rsidR="006E3ABF">
              <w:rPr>
                <w:sz w:val="20"/>
                <w:szCs w:val="20"/>
              </w:rPr>
              <w:t xml:space="preserve"> </w:t>
            </w:r>
            <w:r>
              <w:rPr>
                <w:sz w:val="20"/>
                <w:szCs w:val="20"/>
              </w:rPr>
              <w:t>point</w:t>
            </w:r>
            <w:r w:rsidR="006E3ABF">
              <w:rPr>
                <w:sz w:val="20"/>
                <w:szCs w:val="20"/>
              </w:rPr>
              <w:t>s</w:t>
            </w:r>
          </w:p>
        </w:tc>
      </w:tr>
      <w:tr w:rsidR="000119A5" w:rsidRPr="00F441D2" w:rsidTr="00072FBC">
        <w:trPr>
          <w:cantSplit/>
          <w:trHeight w:val="1223"/>
        </w:trPr>
        <w:tc>
          <w:tcPr>
            <w:tcW w:w="1872" w:type="dxa"/>
            <w:vMerge w:val="restart"/>
            <w:tcBorders>
              <w:bottom w:val="single" w:sz="4" w:space="0" w:color="auto"/>
            </w:tcBorders>
            <w:shd w:val="clear" w:color="auto" w:fill="C6D9F1" w:themeFill="text2" w:themeFillTint="33"/>
            <w:vAlign w:val="center"/>
          </w:tcPr>
          <w:p w:rsidR="000119A5" w:rsidRPr="006137D7" w:rsidRDefault="000119A5" w:rsidP="000119A5">
            <w:pPr>
              <w:spacing w:before="60"/>
              <w:rPr>
                <w:b/>
                <w:sz w:val="24"/>
                <w:szCs w:val="24"/>
              </w:rPr>
            </w:pPr>
            <w:r w:rsidRPr="006137D7">
              <w:rPr>
                <w:b/>
                <w:sz w:val="24"/>
                <w:szCs w:val="24"/>
              </w:rPr>
              <w:t xml:space="preserve">PERFORMANCE OUTCOMES </w:t>
            </w:r>
          </w:p>
          <w:p w:rsidR="000119A5" w:rsidRPr="006137D7" w:rsidRDefault="000119A5" w:rsidP="000119A5">
            <w:pPr>
              <w:spacing w:after="60"/>
              <w:rPr>
                <w:sz w:val="20"/>
                <w:szCs w:val="20"/>
              </w:rPr>
            </w:pPr>
            <w:r w:rsidRPr="006137D7">
              <w:rPr>
                <w:sz w:val="20"/>
                <w:szCs w:val="20"/>
              </w:rPr>
              <w:t>2</w:t>
            </w:r>
            <w:r>
              <w:rPr>
                <w:sz w:val="20"/>
                <w:szCs w:val="20"/>
              </w:rPr>
              <w:t>4</w:t>
            </w:r>
            <w:r w:rsidRPr="006137D7">
              <w:rPr>
                <w:sz w:val="20"/>
                <w:szCs w:val="20"/>
              </w:rPr>
              <w:t xml:space="preserve"> points</w:t>
            </w:r>
          </w:p>
          <w:p w:rsidR="000119A5" w:rsidRPr="004E7DB4" w:rsidRDefault="000119A5" w:rsidP="000119A5">
            <w:pPr>
              <w:spacing w:before="60" w:after="60"/>
              <w:rPr>
                <w:i/>
                <w:sz w:val="20"/>
                <w:szCs w:val="20"/>
              </w:rPr>
            </w:pPr>
            <w:r w:rsidRPr="004E7DB4">
              <w:rPr>
                <w:i/>
                <w:sz w:val="20"/>
                <w:szCs w:val="20"/>
              </w:rPr>
              <w:t xml:space="preserve">Source:  </w:t>
            </w:r>
          </w:p>
          <w:p w:rsidR="000119A5" w:rsidRPr="00F441D2" w:rsidRDefault="00771434" w:rsidP="00771434">
            <w:pPr>
              <w:spacing w:after="60"/>
              <w:rPr>
                <w:sz w:val="20"/>
                <w:szCs w:val="20"/>
              </w:rPr>
            </w:pPr>
            <w:r>
              <w:rPr>
                <w:sz w:val="20"/>
                <w:szCs w:val="20"/>
              </w:rPr>
              <w:t>HMIS APR for period 7/1/2013 – 6/30/2014</w:t>
            </w:r>
          </w:p>
        </w:tc>
        <w:tc>
          <w:tcPr>
            <w:tcW w:w="3780" w:type="dxa"/>
            <w:tcBorders>
              <w:bottom w:val="single" w:sz="4" w:space="0" w:color="auto"/>
            </w:tcBorders>
            <w:shd w:val="clear" w:color="auto" w:fill="C6D9F1" w:themeFill="text2" w:themeFillTint="33"/>
          </w:tcPr>
          <w:p w:rsidR="000119A5" w:rsidRDefault="000119A5" w:rsidP="000119A5">
            <w:pPr>
              <w:spacing w:before="60"/>
              <w:rPr>
                <w:sz w:val="20"/>
                <w:szCs w:val="20"/>
              </w:rPr>
            </w:pPr>
            <w:r>
              <w:rPr>
                <w:sz w:val="20"/>
                <w:szCs w:val="20"/>
              </w:rPr>
              <w:t>Housing Stability (up to 6 points):</w:t>
            </w:r>
          </w:p>
          <w:p w:rsidR="000119A5" w:rsidRDefault="000119A5" w:rsidP="000119A5">
            <w:pPr>
              <w:rPr>
                <w:sz w:val="20"/>
                <w:szCs w:val="20"/>
              </w:rPr>
            </w:pPr>
            <w:r w:rsidRPr="00F441D2">
              <w:rPr>
                <w:sz w:val="20"/>
                <w:szCs w:val="20"/>
              </w:rPr>
              <w:t xml:space="preserve">PH: 84% </w:t>
            </w:r>
            <w:r>
              <w:rPr>
                <w:sz w:val="20"/>
                <w:szCs w:val="20"/>
              </w:rPr>
              <w:t xml:space="preserve">or more </w:t>
            </w:r>
            <w:r w:rsidRPr="00F441D2">
              <w:rPr>
                <w:sz w:val="20"/>
                <w:szCs w:val="20"/>
              </w:rPr>
              <w:t xml:space="preserve">remained in PH or exited to permanent housing  </w:t>
            </w:r>
          </w:p>
          <w:p w:rsidR="000119A5" w:rsidRPr="00F441D2" w:rsidRDefault="000119A5" w:rsidP="000119A5">
            <w:pPr>
              <w:spacing w:after="60"/>
              <w:rPr>
                <w:sz w:val="20"/>
                <w:szCs w:val="20"/>
              </w:rPr>
            </w:pPr>
            <w:r w:rsidRPr="00F441D2">
              <w:rPr>
                <w:sz w:val="20"/>
                <w:szCs w:val="20"/>
              </w:rPr>
              <w:t>TH: 65%</w:t>
            </w:r>
            <w:r>
              <w:rPr>
                <w:sz w:val="20"/>
                <w:szCs w:val="20"/>
              </w:rPr>
              <w:t xml:space="preserve"> or more of</w:t>
            </w:r>
            <w:r w:rsidRPr="00F441D2">
              <w:rPr>
                <w:sz w:val="20"/>
                <w:szCs w:val="20"/>
              </w:rPr>
              <w:t xml:space="preserve"> exit</w:t>
            </w:r>
            <w:r>
              <w:rPr>
                <w:sz w:val="20"/>
                <w:szCs w:val="20"/>
              </w:rPr>
              <w:t>s are</w:t>
            </w:r>
            <w:r w:rsidRPr="00F441D2">
              <w:rPr>
                <w:sz w:val="20"/>
                <w:szCs w:val="20"/>
              </w:rPr>
              <w:t xml:space="preserve"> to permanent housing</w:t>
            </w:r>
          </w:p>
        </w:tc>
        <w:tc>
          <w:tcPr>
            <w:tcW w:w="5076" w:type="dxa"/>
            <w:vMerge w:val="restart"/>
            <w:tcBorders>
              <w:bottom w:val="single" w:sz="4" w:space="0" w:color="auto"/>
            </w:tcBorders>
            <w:shd w:val="clear" w:color="auto" w:fill="C6D9F1" w:themeFill="text2" w:themeFillTint="33"/>
            <w:vAlign w:val="center"/>
          </w:tcPr>
          <w:p w:rsidR="000119A5" w:rsidRDefault="000119A5" w:rsidP="000119A5">
            <w:pPr>
              <w:spacing w:before="60" w:after="60"/>
              <w:rPr>
                <w:sz w:val="20"/>
                <w:szCs w:val="20"/>
              </w:rPr>
            </w:pPr>
          </w:p>
          <w:p w:rsidR="000119A5" w:rsidRPr="00F441D2" w:rsidRDefault="000119A5" w:rsidP="000119A5">
            <w:pPr>
              <w:spacing w:before="60" w:after="60"/>
              <w:rPr>
                <w:sz w:val="20"/>
                <w:szCs w:val="20"/>
              </w:rPr>
            </w:pPr>
            <w:r w:rsidRPr="00F441D2">
              <w:rPr>
                <w:sz w:val="20"/>
                <w:szCs w:val="20"/>
              </w:rPr>
              <w:t xml:space="preserve">Scoring for each standard: </w:t>
            </w:r>
          </w:p>
          <w:p w:rsidR="000119A5" w:rsidRDefault="000119A5" w:rsidP="000119A5">
            <w:pPr>
              <w:rPr>
                <w:sz w:val="20"/>
                <w:szCs w:val="20"/>
              </w:rPr>
            </w:pPr>
            <w:r>
              <w:rPr>
                <w:sz w:val="20"/>
                <w:szCs w:val="20"/>
              </w:rPr>
              <w:t>6 pts. – Exceeded benchmark</w:t>
            </w:r>
          </w:p>
          <w:p w:rsidR="000119A5" w:rsidRPr="00F441D2" w:rsidRDefault="000119A5" w:rsidP="000119A5">
            <w:pPr>
              <w:rPr>
                <w:sz w:val="20"/>
                <w:szCs w:val="20"/>
              </w:rPr>
            </w:pPr>
            <w:r>
              <w:rPr>
                <w:sz w:val="20"/>
                <w:szCs w:val="20"/>
              </w:rPr>
              <w:t>5 pts. - M</w:t>
            </w:r>
            <w:r w:rsidRPr="00F441D2">
              <w:rPr>
                <w:sz w:val="20"/>
                <w:szCs w:val="20"/>
              </w:rPr>
              <w:t xml:space="preserve">et </w:t>
            </w:r>
            <w:r>
              <w:rPr>
                <w:sz w:val="20"/>
                <w:szCs w:val="20"/>
              </w:rPr>
              <w:t>b</w:t>
            </w:r>
            <w:r w:rsidRPr="00F441D2">
              <w:rPr>
                <w:sz w:val="20"/>
                <w:szCs w:val="20"/>
              </w:rPr>
              <w:t xml:space="preserve">enchmark </w:t>
            </w:r>
          </w:p>
          <w:p w:rsidR="000119A5" w:rsidRPr="00F441D2" w:rsidRDefault="000119A5" w:rsidP="000119A5">
            <w:pPr>
              <w:rPr>
                <w:sz w:val="20"/>
                <w:szCs w:val="20"/>
              </w:rPr>
            </w:pPr>
            <w:r w:rsidRPr="00F441D2">
              <w:rPr>
                <w:sz w:val="20"/>
                <w:szCs w:val="20"/>
              </w:rPr>
              <w:t xml:space="preserve">3 pts. </w:t>
            </w:r>
            <w:r>
              <w:rPr>
                <w:sz w:val="20"/>
                <w:szCs w:val="20"/>
              </w:rPr>
              <w:t>–</w:t>
            </w:r>
            <w:r w:rsidRPr="00F441D2">
              <w:rPr>
                <w:sz w:val="20"/>
                <w:szCs w:val="20"/>
              </w:rPr>
              <w:t xml:space="preserve"> Mis</w:t>
            </w:r>
            <w:r>
              <w:rPr>
                <w:sz w:val="20"/>
                <w:szCs w:val="20"/>
              </w:rPr>
              <w:t xml:space="preserve">sed benchmark but provided a </w:t>
            </w:r>
            <w:r w:rsidR="00BF57F5">
              <w:rPr>
                <w:sz w:val="20"/>
                <w:szCs w:val="20"/>
              </w:rPr>
              <w:t xml:space="preserve">realistic </w:t>
            </w:r>
            <w:r>
              <w:rPr>
                <w:sz w:val="20"/>
                <w:szCs w:val="20"/>
              </w:rPr>
              <w:t>plan for improvement of 10% or more over next year</w:t>
            </w:r>
          </w:p>
          <w:p w:rsidR="000119A5" w:rsidRDefault="000119A5" w:rsidP="00BF57F5">
            <w:pPr>
              <w:rPr>
                <w:sz w:val="20"/>
                <w:szCs w:val="20"/>
              </w:rPr>
            </w:pPr>
            <w:r w:rsidRPr="00F441D2">
              <w:rPr>
                <w:sz w:val="20"/>
                <w:szCs w:val="20"/>
              </w:rPr>
              <w:t xml:space="preserve">0 pts. </w:t>
            </w:r>
            <w:r>
              <w:rPr>
                <w:sz w:val="20"/>
                <w:szCs w:val="20"/>
              </w:rPr>
              <w:t>–</w:t>
            </w:r>
            <w:r w:rsidRPr="00F441D2">
              <w:rPr>
                <w:sz w:val="20"/>
                <w:szCs w:val="20"/>
              </w:rPr>
              <w:t xml:space="preserve"> Miss</w:t>
            </w:r>
            <w:r>
              <w:rPr>
                <w:sz w:val="20"/>
                <w:szCs w:val="20"/>
              </w:rPr>
              <w:t>ed benchmark and no plan for improvement</w:t>
            </w:r>
          </w:p>
          <w:p w:rsidR="00BF57F5" w:rsidRDefault="00BF57F5" w:rsidP="00BF57F5">
            <w:pPr>
              <w:rPr>
                <w:sz w:val="20"/>
                <w:szCs w:val="20"/>
              </w:rPr>
            </w:pPr>
          </w:p>
          <w:p w:rsidR="000119A5" w:rsidRDefault="000119A5" w:rsidP="000119A5">
            <w:pPr>
              <w:spacing w:before="60" w:after="60"/>
              <w:rPr>
                <w:sz w:val="20"/>
                <w:szCs w:val="20"/>
              </w:rPr>
            </w:pPr>
          </w:p>
          <w:p w:rsidR="000119A5" w:rsidRPr="00F441D2" w:rsidRDefault="000119A5" w:rsidP="000119A5">
            <w:pPr>
              <w:spacing w:before="60" w:after="60"/>
              <w:rPr>
                <w:sz w:val="20"/>
                <w:szCs w:val="20"/>
              </w:rPr>
            </w:pPr>
          </w:p>
        </w:tc>
      </w:tr>
      <w:tr w:rsidR="000119A5" w:rsidRPr="00F441D2" w:rsidTr="00072FBC">
        <w:tc>
          <w:tcPr>
            <w:tcW w:w="1872" w:type="dxa"/>
            <w:vMerge/>
            <w:shd w:val="clear" w:color="auto" w:fill="C6D9F1" w:themeFill="text2" w:themeFillTint="33"/>
          </w:tcPr>
          <w:p w:rsidR="000119A5" w:rsidRPr="00F441D2" w:rsidRDefault="000119A5" w:rsidP="000119A5">
            <w:pPr>
              <w:spacing w:before="60" w:after="60"/>
              <w:rPr>
                <w:sz w:val="20"/>
                <w:szCs w:val="20"/>
              </w:rPr>
            </w:pPr>
          </w:p>
        </w:tc>
        <w:tc>
          <w:tcPr>
            <w:tcW w:w="3780" w:type="dxa"/>
            <w:shd w:val="clear" w:color="auto" w:fill="C6D9F1" w:themeFill="text2" w:themeFillTint="33"/>
          </w:tcPr>
          <w:p w:rsidR="000119A5" w:rsidRDefault="000119A5" w:rsidP="000119A5">
            <w:pPr>
              <w:spacing w:before="60"/>
              <w:rPr>
                <w:sz w:val="20"/>
                <w:szCs w:val="20"/>
              </w:rPr>
            </w:pPr>
            <w:r w:rsidRPr="00F441D2">
              <w:rPr>
                <w:sz w:val="20"/>
                <w:szCs w:val="20"/>
              </w:rPr>
              <w:t>Employment</w:t>
            </w:r>
            <w:r>
              <w:rPr>
                <w:sz w:val="20"/>
                <w:szCs w:val="20"/>
              </w:rPr>
              <w:t xml:space="preserve"> Income (up to 6 points):</w:t>
            </w:r>
          </w:p>
          <w:p w:rsidR="000119A5" w:rsidRPr="00F441D2" w:rsidRDefault="000119A5" w:rsidP="00BF57F5">
            <w:pPr>
              <w:spacing w:after="60"/>
              <w:rPr>
                <w:sz w:val="20"/>
                <w:szCs w:val="20"/>
              </w:rPr>
            </w:pPr>
            <w:r w:rsidRPr="00F441D2">
              <w:rPr>
                <w:sz w:val="20"/>
                <w:szCs w:val="20"/>
              </w:rPr>
              <w:t xml:space="preserve">20% </w:t>
            </w:r>
            <w:r>
              <w:rPr>
                <w:sz w:val="20"/>
                <w:szCs w:val="20"/>
              </w:rPr>
              <w:t xml:space="preserve">or more </w:t>
            </w:r>
            <w:r w:rsidRPr="00F441D2">
              <w:rPr>
                <w:sz w:val="20"/>
                <w:szCs w:val="20"/>
              </w:rPr>
              <w:t>of adults</w:t>
            </w:r>
            <w:r>
              <w:rPr>
                <w:sz w:val="20"/>
                <w:szCs w:val="20"/>
              </w:rPr>
              <w:t xml:space="preserve"> </w:t>
            </w:r>
            <w:r w:rsidRPr="00F441D2">
              <w:rPr>
                <w:sz w:val="20"/>
                <w:szCs w:val="20"/>
              </w:rPr>
              <w:t xml:space="preserve"> </w:t>
            </w:r>
            <w:r>
              <w:rPr>
                <w:sz w:val="20"/>
                <w:szCs w:val="20"/>
              </w:rPr>
              <w:t xml:space="preserve">increased </w:t>
            </w:r>
            <w:r w:rsidRPr="00F441D2">
              <w:rPr>
                <w:sz w:val="20"/>
                <w:szCs w:val="20"/>
              </w:rPr>
              <w:t>employment</w:t>
            </w:r>
            <w:r>
              <w:rPr>
                <w:sz w:val="20"/>
                <w:szCs w:val="20"/>
              </w:rPr>
              <w:t xml:space="preserve"> income</w:t>
            </w:r>
            <w:r w:rsidRPr="00F441D2">
              <w:rPr>
                <w:sz w:val="20"/>
                <w:szCs w:val="20"/>
              </w:rPr>
              <w:t xml:space="preserve"> </w:t>
            </w:r>
          </w:p>
        </w:tc>
        <w:tc>
          <w:tcPr>
            <w:tcW w:w="5076" w:type="dxa"/>
            <w:vMerge/>
            <w:shd w:val="clear" w:color="auto" w:fill="C6D9F1" w:themeFill="text2" w:themeFillTint="33"/>
          </w:tcPr>
          <w:p w:rsidR="000119A5" w:rsidRPr="00F441D2" w:rsidRDefault="000119A5" w:rsidP="000119A5">
            <w:pPr>
              <w:spacing w:before="60" w:after="60"/>
              <w:rPr>
                <w:sz w:val="20"/>
                <w:szCs w:val="20"/>
              </w:rPr>
            </w:pPr>
          </w:p>
        </w:tc>
      </w:tr>
      <w:tr w:rsidR="000119A5" w:rsidRPr="00F441D2" w:rsidTr="00072FBC">
        <w:trPr>
          <w:cantSplit/>
          <w:trHeight w:val="827"/>
        </w:trPr>
        <w:tc>
          <w:tcPr>
            <w:tcW w:w="1872" w:type="dxa"/>
            <w:vMerge/>
            <w:shd w:val="clear" w:color="auto" w:fill="C6D9F1" w:themeFill="text2" w:themeFillTint="33"/>
          </w:tcPr>
          <w:p w:rsidR="000119A5" w:rsidRPr="00F441D2" w:rsidRDefault="000119A5" w:rsidP="000119A5">
            <w:pPr>
              <w:spacing w:before="60" w:after="60"/>
              <w:rPr>
                <w:sz w:val="20"/>
                <w:szCs w:val="20"/>
              </w:rPr>
            </w:pPr>
          </w:p>
        </w:tc>
        <w:tc>
          <w:tcPr>
            <w:tcW w:w="3780" w:type="dxa"/>
            <w:shd w:val="clear" w:color="auto" w:fill="C6D9F1" w:themeFill="text2" w:themeFillTint="33"/>
          </w:tcPr>
          <w:p w:rsidR="000119A5" w:rsidRPr="00F441D2" w:rsidRDefault="000119A5" w:rsidP="000119A5">
            <w:pPr>
              <w:spacing w:before="60"/>
              <w:rPr>
                <w:sz w:val="20"/>
                <w:szCs w:val="20"/>
              </w:rPr>
            </w:pPr>
            <w:r>
              <w:rPr>
                <w:sz w:val="20"/>
                <w:szCs w:val="20"/>
              </w:rPr>
              <w:t>Non-employment Income (up to 6 points):</w:t>
            </w:r>
          </w:p>
          <w:p w:rsidR="000119A5" w:rsidRPr="00F441D2" w:rsidRDefault="000119A5" w:rsidP="00BF57F5">
            <w:pPr>
              <w:spacing w:after="60"/>
              <w:rPr>
                <w:sz w:val="20"/>
                <w:szCs w:val="20"/>
              </w:rPr>
            </w:pPr>
            <w:r w:rsidRPr="00F441D2">
              <w:rPr>
                <w:sz w:val="20"/>
                <w:szCs w:val="20"/>
              </w:rPr>
              <w:t xml:space="preserve">54% </w:t>
            </w:r>
            <w:r>
              <w:rPr>
                <w:sz w:val="20"/>
                <w:szCs w:val="20"/>
              </w:rPr>
              <w:t xml:space="preserve">or more of adults </w:t>
            </w:r>
            <w:r w:rsidRPr="00F441D2">
              <w:rPr>
                <w:sz w:val="20"/>
                <w:szCs w:val="20"/>
              </w:rPr>
              <w:t xml:space="preserve">increased non-employment </w:t>
            </w:r>
            <w:r>
              <w:rPr>
                <w:sz w:val="20"/>
                <w:szCs w:val="20"/>
              </w:rPr>
              <w:t>income</w:t>
            </w:r>
          </w:p>
        </w:tc>
        <w:tc>
          <w:tcPr>
            <w:tcW w:w="5076" w:type="dxa"/>
            <w:vMerge/>
            <w:shd w:val="clear" w:color="auto" w:fill="C6D9F1" w:themeFill="text2" w:themeFillTint="33"/>
          </w:tcPr>
          <w:p w:rsidR="000119A5" w:rsidRPr="00F441D2" w:rsidRDefault="000119A5" w:rsidP="000119A5">
            <w:pPr>
              <w:spacing w:before="60" w:after="60"/>
              <w:rPr>
                <w:sz w:val="20"/>
                <w:szCs w:val="20"/>
              </w:rPr>
            </w:pPr>
          </w:p>
        </w:tc>
      </w:tr>
      <w:tr w:rsidR="000119A5" w:rsidRPr="00F441D2" w:rsidTr="00072FBC">
        <w:trPr>
          <w:cantSplit/>
          <w:trHeight w:val="890"/>
        </w:trPr>
        <w:tc>
          <w:tcPr>
            <w:tcW w:w="1872" w:type="dxa"/>
            <w:vMerge/>
            <w:shd w:val="clear" w:color="auto" w:fill="C6D9F1" w:themeFill="text2" w:themeFillTint="33"/>
          </w:tcPr>
          <w:p w:rsidR="000119A5" w:rsidRPr="00F441D2" w:rsidRDefault="000119A5" w:rsidP="000119A5">
            <w:pPr>
              <w:spacing w:before="60" w:after="60"/>
              <w:rPr>
                <w:sz w:val="20"/>
                <w:szCs w:val="20"/>
              </w:rPr>
            </w:pPr>
          </w:p>
        </w:tc>
        <w:tc>
          <w:tcPr>
            <w:tcW w:w="3780" w:type="dxa"/>
            <w:shd w:val="clear" w:color="auto" w:fill="C6D9F1" w:themeFill="text2" w:themeFillTint="33"/>
          </w:tcPr>
          <w:p w:rsidR="000119A5" w:rsidRPr="00F441D2" w:rsidRDefault="000119A5" w:rsidP="000119A5">
            <w:pPr>
              <w:spacing w:before="60"/>
              <w:rPr>
                <w:sz w:val="20"/>
                <w:szCs w:val="20"/>
              </w:rPr>
            </w:pPr>
            <w:r>
              <w:rPr>
                <w:sz w:val="20"/>
                <w:szCs w:val="20"/>
              </w:rPr>
              <w:t xml:space="preserve">Mainstream </w:t>
            </w:r>
            <w:r w:rsidRPr="00F441D2">
              <w:rPr>
                <w:sz w:val="20"/>
                <w:szCs w:val="20"/>
              </w:rPr>
              <w:t>Benefits</w:t>
            </w:r>
            <w:r>
              <w:rPr>
                <w:sz w:val="20"/>
                <w:szCs w:val="20"/>
              </w:rPr>
              <w:t xml:space="preserve"> (up to 6 points):</w:t>
            </w:r>
          </w:p>
          <w:p w:rsidR="000119A5" w:rsidRPr="00F441D2" w:rsidRDefault="00BF57F5" w:rsidP="00BF57F5">
            <w:pPr>
              <w:spacing w:after="60"/>
              <w:rPr>
                <w:sz w:val="20"/>
                <w:szCs w:val="20"/>
              </w:rPr>
            </w:pPr>
            <w:r>
              <w:rPr>
                <w:sz w:val="20"/>
                <w:szCs w:val="20"/>
              </w:rPr>
              <w:t>70</w:t>
            </w:r>
            <w:r w:rsidR="000119A5" w:rsidRPr="00F441D2">
              <w:rPr>
                <w:sz w:val="20"/>
                <w:szCs w:val="20"/>
              </w:rPr>
              <w:t>%</w:t>
            </w:r>
            <w:r w:rsidR="000119A5">
              <w:rPr>
                <w:sz w:val="20"/>
                <w:szCs w:val="20"/>
              </w:rPr>
              <w:t>or more</w:t>
            </w:r>
            <w:r w:rsidR="000119A5" w:rsidRPr="00F441D2">
              <w:rPr>
                <w:sz w:val="20"/>
                <w:szCs w:val="20"/>
              </w:rPr>
              <w:t xml:space="preserve"> of</w:t>
            </w:r>
            <w:r>
              <w:rPr>
                <w:sz w:val="20"/>
                <w:szCs w:val="20"/>
              </w:rPr>
              <w:t xml:space="preserve"> </w:t>
            </w:r>
            <w:r w:rsidR="000119A5" w:rsidRPr="00F441D2">
              <w:rPr>
                <w:sz w:val="20"/>
                <w:szCs w:val="20"/>
              </w:rPr>
              <w:t xml:space="preserve">adults </w:t>
            </w:r>
            <w:r w:rsidR="000119A5">
              <w:rPr>
                <w:sz w:val="20"/>
                <w:szCs w:val="20"/>
              </w:rPr>
              <w:t xml:space="preserve">maintained or </w:t>
            </w:r>
            <w:r w:rsidR="000119A5" w:rsidRPr="00F441D2">
              <w:rPr>
                <w:sz w:val="20"/>
                <w:szCs w:val="20"/>
              </w:rPr>
              <w:t>increased mainstream benefits</w:t>
            </w:r>
          </w:p>
        </w:tc>
        <w:tc>
          <w:tcPr>
            <w:tcW w:w="5076" w:type="dxa"/>
            <w:vMerge/>
            <w:shd w:val="clear" w:color="auto" w:fill="C6D9F1" w:themeFill="text2" w:themeFillTint="33"/>
          </w:tcPr>
          <w:p w:rsidR="000119A5" w:rsidRPr="00F441D2" w:rsidRDefault="000119A5" w:rsidP="000119A5">
            <w:pPr>
              <w:spacing w:before="60" w:after="60"/>
              <w:rPr>
                <w:sz w:val="20"/>
                <w:szCs w:val="20"/>
              </w:rPr>
            </w:pPr>
          </w:p>
        </w:tc>
      </w:tr>
      <w:tr w:rsidR="000119A5" w:rsidRPr="00F441D2" w:rsidTr="00072FBC">
        <w:tc>
          <w:tcPr>
            <w:tcW w:w="1872" w:type="dxa"/>
            <w:vMerge w:val="restart"/>
            <w:shd w:val="clear" w:color="auto" w:fill="F2F2F2" w:themeFill="background1" w:themeFillShade="F2"/>
            <w:vAlign w:val="center"/>
          </w:tcPr>
          <w:p w:rsidR="000119A5" w:rsidRPr="004E7DB4" w:rsidRDefault="000119A5" w:rsidP="000119A5">
            <w:pPr>
              <w:spacing w:after="60"/>
              <w:rPr>
                <w:b/>
                <w:sz w:val="24"/>
                <w:szCs w:val="24"/>
              </w:rPr>
            </w:pPr>
            <w:r w:rsidRPr="004E7DB4">
              <w:rPr>
                <w:b/>
                <w:sz w:val="24"/>
                <w:szCs w:val="24"/>
              </w:rPr>
              <w:t>FINANCIAL</w:t>
            </w:r>
          </w:p>
          <w:p w:rsidR="000119A5" w:rsidRPr="004E7DB4" w:rsidRDefault="000119A5" w:rsidP="000119A5">
            <w:pPr>
              <w:spacing w:after="60"/>
              <w:rPr>
                <w:sz w:val="20"/>
                <w:szCs w:val="20"/>
              </w:rPr>
            </w:pPr>
            <w:r>
              <w:rPr>
                <w:sz w:val="20"/>
                <w:szCs w:val="20"/>
              </w:rPr>
              <w:t xml:space="preserve">20 </w:t>
            </w:r>
            <w:r w:rsidRPr="004E7DB4">
              <w:rPr>
                <w:sz w:val="20"/>
                <w:szCs w:val="20"/>
              </w:rPr>
              <w:t>points</w:t>
            </w:r>
          </w:p>
          <w:p w:rsidR="000119A5" w:rsidRDefault="000119A5" w:rsidP="000119A5">
            <w:pPr>
              <w:spacing w:before="60"/>
              <w:rPr>
                <w:i/>
                <w:sz w:val="20"/>
                <w:szCs w:val="20"/>
              </w:rPr>
            </w:pPr>
            <w:r w:rsidRPr="004E7DB4">
              <w:rPr>
                <w:i/>
                <w:sz w:val="20"/>
                <w:szCs w:val="20"/>
              </w:rPr>
              <w:t>Source:</w:t>
            </w:r>
          </w:p>
          <w:p w:rsidR="000119A5" w:rsidRPr="00F441D2" w:rsidRDefault="000119A5" w:rsidP="000119A5">
            <w:pPr>
              <w:spacing w:after="60"/>
              <w:rPr>
                <w:b/>
                <w:sz w:val="20"/>
                <w:szCs w:val="20"/>
              </w:rPr>
            </w:pPr>
            <w:r w:rsidRPr="006137D7">
              <w:rPr>
                <w:sz w:val="20"/>
                <w:szCs w:val="20"/>
              </w:rPr>
              <w:t>Budget submittal, leverage letters,</w:t>
            </w:r>
            <w:r>
              <w:rPr>
                <w:b/>
                <w:sz w:val="20"/>
                <w:szCs w:val="20"/>
              </w:rPr>
              <w:t xml:space="preserve"> </w:t>
            </w:r>
            <w:r w:rsidRPr="00134575">
              <w:rPr>
                <w:sz w:val="20"/>
                <w:szCs w:val="20"/>
              </w:rPr>
              <w:t>program audit</w:t>
            </w:r>
          </w:p>
        </w:tc>
        <w:tc>
          <w:tcPr>
            <w:tcW w:w="3780" w:type="dxa"/>
            <w:shd w:val="clear" w:color="auto" w:fill="F2F2F2" w:themeFill="background1" w:themeFillShade="F2"/>
          </w:tcPr>
          <w:p w:rsidR="000119A5" w:rsidRPr="00F441D2" w:rsidRDefault="000119A5" w:rsidP="000119A5">
            <w:pPr>
              <w:spacing w:before="60" w:after="60"/>
              <w:rPr>
                <w:sz w:val="20"/>
                <w:szCs w:val="20"/>
              </w:rPr>
            </w:pPr>
            <w:r>
              <w:rPr>
                <w:sz w:val="20"/>
                <w:szCs w:val="20"/>
              </w:rPr>
              <w:t>Leverage (up to 10 points)</w:t>
            </w:r>
          </w:p>
        </w:tc>
        <w:tc>
          <w:tcPr>
            <w:tcW w:w="5076" w:type="dxa"/>
            <w:shd w:val="clear" w:color="auto" w:fill="F2F2F2" w:themeFill="background1" w:themeFillShade="F2"/>
          </w:tcPr>
          <w:p w:rsidR="000119A5" w:rsidRDefault="000119A5" w:rsidP="000119A5">
            <w:pPr>
              <w:spacing w:before="60"/>
              <w:rPr>
                <w:sz w:val="20"/>
                <w:szCs w:val="20"/>
              </w:rPr>
            </w:pPr>
            <w:r>
              <w:rPr>
                <w:sz w:val="20"/>
                <w:szCs w:val="20"/>
              </w:rPr>
              <w:t>Documen</w:t>
            </w:r>
            <w:r w:rsidR="00BF57F5">
              <w:rPr>
                <w:sz w:val="20"/>
                <w:szCs w:val="20"/>
              </w:rPr>
              <w:t>ted leverage of 175% or more – 10</w:t>
            </w:r>
            <w:r>
              <w:rPr>
                <w:sz w:val="20"/>
                <w:szCs w:val="20"/>
              </w:rPr>
              <w:t xml:space="preserve"> points</w:t>
            </w:r>
          </w:p>
          <w:p w:rsidR="000119A5" w:rsidRDefault="000119A5" w:rsidP="000119A5">
            <w:pPr>
              <w:rPr>
                <w:sz w:val="20"/>
                <w:szCs w:val="20"/>
              </w:rPr>
            </w:pPr>
            <w:r>
              <w:rPr>
                <w:sz w:val="20"/>
                <w:szCs w:val="20"/>
              </w:rPr>
              <w:t>Documented leverage of 150-174% - 6 points</w:t>
            </w:r>
          </w:p>
          <w:p w:rsidR="000119A5" w:rsidRPr="00F441D2" w:rsidRDefault="000119A5" w:rsidP="000119A5">
            <w:pPr>
              <w:rPr>
                <w:sz w:val="20"/>
                <w:szCs w:val="20"/>
              </w:rPr>
            </w:pPr>
            <w:r>
              <w:rPr>
                <w:sz w:val="20"/>
                <w:szCs w:val="20"/>
              </w:rPr>
              <w:t>Documented leverage of 100-149% - 3 points</w:t>
            </w:r>
          </w:p>
        </w:tc>
      </w:tr>
      <w:tr w:rsidR="000119A5" w:rsidRPr="00F441D2" w:rsidTr="00072FBC">
        <w:tc>
          <w:tcPr>
            <w:tcW w:w="1872" w:type="dxa"/>
            <w:vMerge/>
            <w:shd w:val="clear" w:color="auto" w:fill="F2F2F2" w:themeFill="background1" w:themeFillShade="F2"/>
          </w:tcPr>
          <w:p w:rsidR="000119A5" w:rsidRPr="00F441D2" w:rsidRDefault="000119A5" w:rsidP="000119A5">
            <w:pPr>
              <w:spacing w:before="60" w:after="60"/>
              <w:rPr>
                <w:sz w:val="20"/>
                <w:szCs w:val="20"/>
              </w:rPr>
            </w:pPr>
          </w:p>
        </w:tc>
        <w:tc>
          <w:tcPr>
            <w:tcW w:w="3780" w:type="dxa"/>
            <w:shd w:val="clear" w:color="auto" w:fill="F2F2F2" w:themeFill="background1" w:themeFillShade="F2"/>
          </w:tcPr>
          <w:p w:rsidR="000119A5" w:rsidRPr="00F441D2" w:rsidRDefault="000119A5" w:rsidP="000119A5">
            <w:pPr>
              <w:spacing w:before="60" w:after="60"/>
              <w:rPr>
                <w:sz w:val="20"/>
                <w:szCs w:val="20"/>
              </w:rPr>
            </w:pPr>
            <w:r>
              <w:rPr>
                <w:sz w:val="20"/>
                <w:szCs w:val="20"/>
              </w:rPr>
              <w:t>Audit (up to 5 points)</w:t>
            </w:r>
          </w:p>
        </w:tc>
        <w:tc>
          <w:tcPr>
            <w:tcW w:w="5076" w:type="dxa"/>
            <w:shd w:val="clear" w:color="auto" w:fill="F2F2F2" w:themeFill="background1" w:themeFillShade="F2"/>
          </w:tcPr>
          <w:p w:rsidR="000119A5" w:rsidRPr="00F441D2" w:rsidRDefault="000119A5" w:rsidP="000119A5">
            <w:pPr>
              <w:spacing w:before="60" w:after="60"/>
              <w:rPr>
                <w:sz w:val="20"/>
                <w:szCs w:val="20"/>
              </w:rPr>
            </w:pPr>
            <w:r>
              <w:rPr>
                <w:sz w:val="20"/>
                <w:szCs w:val="20"/>
              </w:rPr>
              <w:t>No findings – 4 points; Findings – 0 points</w:t>
            </w:r>
          </w:p>
        </w:tc>
      </w:tr>
      <w:tr w:rsidR="000119A5" w:rsidRPr="00F441D2" w:rsidTr="00072FBC">
        <w:tc>
          <w:tcPr>
            <w:tcW w:w="1872" w:type="dxa"/>
            <w:vMerge/>
            <w:shd w:val="clear" w:color="auto" w:fill="F2F2F2" w:themeFill="background1" w:themeFillShade="F2"/>
          </w:tcPr>
          <w:p w:rsidR="000119A5" w:rsidRPr="00F441D2" w:rsidRDefault="000119A5" w:rsidP="000119A5">
            <w:pPr>
              <w:spacing w:before="60" w:after="60"/>
              <w:rPr>
                <w:sz w:val="20"/>
                <w:szCs w:val="20"/>
              </w:rPr>
            </w:pPr>
          </w:p>
        </w:tc>
        <w:tc>
          <w:tcPr>
            <w:tcW w:w="3780" w:type="dxa"/>
            <w:shd w:val="clear" w:color="auto" w:fill="F2F2F2" w:themeFill="background1" w:themeFillShade="F2"/>
          </w:tcPr>
          <w:p w:rsidR="000119A5" w:rsidRDefault="000119A5" w:rsidP="000119A5">
            <w:pPr>
              <w:spacing w:before="60" w:after="60"/>
              <w:rPr>
                <w:sz w:val="20"/>
                <w:szCs w:val="20"/>
              </w:rPr>
            </w:pPr>
            <w:r>
              <w:rPr>
                <w:sz w:val="20"/>
                <w:szCs w:val="20"/>
              </w:rPr>
              <w:t>Budget submission (up to 5 points)</w:t>
            </w:r>
          </w:p>
        </w:tc>
        <w:tc>
          <w:tcPr>
            <w:tcW w:w="5076" w:type="dxa"/>
            <w:shd w:val="clear" w:color="auto" w:fill="F2F2F2" w:themeFill="background1" w:themeFillShade="F2"/>
          </w:tcPr>
          <w:p w:rsidR="000119A5" w:rsidRDefault="000119A5" w:rsidP="000119A5">
            <w:pPr>
              <w:spacing w:before="60" w:after="60"/>
              <w:rPr>
                <w:sz w:val="20"/>
                <w:szCs w:val="20"/>
              </w:rPr>
            </w:pPr>
            <w:r>
              <w:rPr>
                <w:sz w:val="20"/>
                <w:szCs w:val="20"/>
              </w:rPr>
              <w:t>Budget accurate &amp; compliant with CoC rules – 5 points</w:t>
            </w:r>
          </w:p>
          <w:p w:rsidR="000119A5" w:rsidRPr="00F441D2" w:rsidRDefault="000119A5" w:rsidP="000119A5">
            <w:pPr>
              <w:spacing w:before="60" w:after="60"/>
              <w:rPr>
                <w:sz w:val="20"/>
                <w:szCs w:val="20"/>
              </w:rPr>
            </w:pPr>
            <w:r>
              <w:rPr>
                <w:sz w:val="20"/>
                <w:szCs w:val="20"/>
              </w:rPr>
              <w:t>Other—0 points</w:t>
            </w:r>
          </w:p>
        </w:tc>
      </w:tr>
      <w:tr w:rsidR="000119A5" w:rsidRPr="00F441D2" w:rsidTr="00072FBC">
        <w:trPr>
          <w:trHeight w:val="368"/>
        </w:trPr>
        <w:tc>
          <w:tcPr>
            <w:tcW w:w="1872" w:type="dxa"/>
            <w:vMerge w:val="restart"/>
            <w:shd w:val="clear" w:color="auto" w:fill="C6D9F1" w:themeFill="text2" w:themeFillTint="33"/>
          </w:tcPr>
          <w:p w:rsidR="000119A5" w:rsidRPr="004E7DB4" w:rsidRDefault="000119A5" w:rsidP="000119A5">
            <w:pPr>
              <w:spacing w:before="60"/>
              <w:rPr>
                <w:b/>
                <w:sz w:val="24"/>
                <w:szCs w:val="24"/>
              </w:rPr>
            </w:pPr>
            <w:r w:rsidRPr="004E7DB4">
              <w:rPr>
                <w:b/>
                <w:sz w:val="24"/>
                <w:szCs w:val="24"/>
              </w:rPr>
              <w:t>PROGRAM MANAGEMENT</w:t>
            </w:r>
          </w:p>
          <w:p w:rsidR="000119A5" w:rsidRPr="004E7DB4" w:rsidRDefault="000119A5" w:rsidP="000119A5">
            <w:pPr>
              <w:spacing w:after="60"/>
              <w:rPr>
                <w:sz w:val="20"/>
                <w:szCs w:val="20"/>
              </w:rPr>
            </w:pPr>
            <w:r w:rsidRPr="004E7DB4">
              <w:rPr>
                <w:sz w:val="20"/>
                <w:szCs w:val="20"/>
              </w:rPr>
              <w:t>20 points</w:t>
            </w:r>
          </w:p>
          <w:p w:rsidR="000119A5" w:rsidRDefault="000119A5" w:rsidP="000119A5">
            <w:pPr>
              <w:spacing w:before="60"/>
              <w:rPr>
                <w:i/>
                <w:sz w:val="20"/>
                <w:szCs w:val="20"/>
              </w:rPr>
            </w:pPr>
            <w:r w:rsidRPr="004E7DB4">
              <w:rPr>
                <w:i/>
                <w:sz w:val="20"/>
                <w:szCs w:val="20"/>
              </w:rPr>
              <w:t>Source:</w:t>
            </w:r>
          </w:p>
          <w:p w:rsidR="000119A5" w:rsidRPr="004E7DB4" w:rsidRDefault="000119A5" w:rsidP="000119A5">
            <w:pPr>
              <w:spacing w:after="60"/>
              <w:rPr>
                <w:sz w:val="20"/>
                <w:szCs w:val="20"/>
              </w:rPr>
            </w:pPr>
            <w:r w:rsidRPr="004E7DB4">
              <w:rPr>
                <w:sz w:val="20"/>
                <w:szCs w:val="20"/>
              </w:rPr>
              <w:t>APR</w:t>
            </w:r>
            <w:r>
              <w:rPr>
                <w:sz w:val="20"/>
                <w:szCs w:val="20"/>
              </w:rPr>
              <w:t>, agency policies and procedures</w:t>
            </w:r>
          </w:p>
        </w:tc>
        <w:tc>
          <w:tcPr>
            <w:tcW w:w="3780" w:type="dxa"/>
            <w:shd w:val="clear" w:color="auto" w:fill="C6D9F1" w:themeFill="text2" w:themeFillTint="33"/>
          </w:tcPr>
          <w:p w:rsidR="000119A5" w:rsidRPr="00F441D2" w:rsidRDefault="000119A5" w:rsidP="000119A5">
            <w:pPr>
              <w:spacing w:before="60" w:after="60"/>
              <w:rPr>
                <w:sz w:val="20"/>
                <w:szCs w:val="20"/>
              </w:rPr>
            </w:pPr>
            <w:r w:rsidRPr="00F441D2">
              <w:rPr>
                <w:sz w:val="20"/>
                <w:szCs w:val="20"/>
              </w:rPr>
              <w:t>HMIS data quality</w:t>
            </w:r>
            <w:r>
              <w:rPr>
                <w:sz w:val="20"/>
                <w:szCs w:val="20"/>
              </w:rPr>
              <w:t xml:space="preserve"> (up to 7 points)</w:t>
            </w:r>
          </w:p>
        </w:tc>
        <w:tc>
          <w:tcPr>
            <w:tcW w:w="5076" w:type="dxa"/>
            <w:shd w:val="clear" w:color="auto" w:fill="C6D9F1" w:themeFill="text2" w:themeFillTint="33"/>
          </w:tcPr>
          <w:p w:rsidR="000119A5" w:rsidRDefault="000119A5" w:rsidP="000119A5">
            <w:pPr>
              <w:spacing w:before="60"/>
              <w:rPr>
                <w:sz w:val="20"/>
                <w:szCs w:val="20"/>
              </w:rPr>
            </w:pPr>
            <w:r w:rsidRPr="00F441D2">
              <w:rPr>
                <w:sz w:val="20"/>
                <w:szCs w:val="20"/>
              </w:rPr>
              <w:t>5% or less null</w:t>
            </w:r>
            <w:r>
              <w:rPr>
                <w:sz w:val="20"/>
                <w:szCs w:val="20"/>
              </w:rPr>
              <w:t>/</w:t>
            </w:r>
            <w:r w:rsidRPr="00F441D2">
              <w:rPr>
                <w:sz w:val="20"/>
                <w:szCs w:val="20"/>
              </w:rPr>
              <w:t>missing data</w:t>
            </w:r>
            <w:r>
              <w:rPr>
                <w:sz w:val="20"/>
                <w:szCs w:val="20"/>
              </w:rPr>
              <w:t xml:space="preserve"> – 7 points</w:t>
            </w:r>
          </w:p>
          <w:p w:rsidR="000119A5" w:rsidRPr="00F441D2" w:rsidRDefault="000119A5" w:rsidP="000119A5">
            <w:pPr>
              <w:spacing w:after="60"/>
              <w:rPr>
                <w:sz w:val="20"/>
                <w:szCs w:val="20"/>
              </w:rPr>
            </w:pPr>
            <w:r>
              <w:rPr>
                <w:sz w:val="20"/>
                <w:szCs w:val="20"/>
              </w:rPr>
              <w:t>6-10% null/missing data – 4 points</w:t>
            </w:r>
            <w:r w:rsidRPr="00F441D2">
              <w:rPr>
                <w:sz w:val="20"/>
                <w:szCs w:val="20"/>
              </w:rPr>
              <w:t xml:space="preserve"> </w:t>
            </w:r>
          </w:p>
        </w:tc>
      </w:tr>
      <w:tr w:rsidR="000119A5" w:rsidRPr="00F441D2" w:rsidTr="00072FBC">
        <w:tc>
          <w:tcPr>
            <w:tcW w:w="1872" w:type="dxa"/>
            <w:vMerge/>
            <w:shd w:val="clear" w:color="auto" w:fill="C6D9F1" w:themeFill="text2" w:themeFillTint="33"/>
          </w:tcPr>
          <w:p w:rsidR="000119A5" w:rsidRPr="00F441D2" w:rsidRDefault="000119A5" w:rsidP="000119A5">
            <w:pPr>
              <w:spacing w:before="60" w:after="60"/>
              <w:rPr>
                <w:sz w:val="20"/>
                <w:szCs w:val="20"/>
              </w:rPr>
            </w:pPr>
          </w:p>
        </w:tc>
        <w:tc>
          <w:tcPr>
            <w:tcW w:w="3780" w:type="dxa"/>
            <w:shd w:val="clear" w:color="auto" w:fill="C6D9F1" w:themeFill="text2" w:themeFillTint="33"/>
          </w:tcPr>
          <w:p w:rsidR="000119A5" w:rsidRPr="00F441D2" w:rsidRDefault="000119A5" w:rsidP="000119A5">
            <w:pPr>
              <w:spacing w:before="60" w:after="60"/>
              <w:rPr>
                <w:sz w:val="20"/>
                <w:szCs w:val="20"/>
              </w:rPr>
            </w:pPr>
            <w:r>
              <w:rPr>
                <w:sz w:val="20"/>
                <w:szCs w:val="20"/>
              </w:rPr>
              <w:t>Program utilization (up to 7</w:t>
            </w:r>
            <w:r w:rsidRPr="00F441D2">
              <w:rPr>
                <w:sz w:val="20"/>
                <w:szCs w:val="20"/>
              </w:rPr>
              <w:t xml:space="preserve"> points</w:t>
            </w:r>
            <w:r>
              <w:rPr>
                <w:sz w:val="20"/>
                <w:szCs w:val="20"/>
              </w:rPr>
              <w:t>)</w:t>
            </w:r>
          </w:p>
        </w:tc>
        <w:tc>
          <w:tcPr>
            <w:tcW w:w="5076" w:type="dxa"/>
            <w:shd w:val="clear" w:color="auto" w:fill="C6D9F1" w:themeFill="text2" w:themeFillTint="33"/>
          </w:tcPr>
          <w:p w:rsidR="000119A5" w:rsidRDefault="000119A5" w:rsidP="000119A5">
            <w:pPr>
              <w:rPr>
                <w:sz w:val="20"/>
                <w:szCs w:val="20"/>
              </w:rPr>
            </w:pPr>
            <w:r>
              <w:rPr>
                <w:sz w:val="20"/>
                <w:szCs w:val="20"/>
              </w:rPr>
              <w:t>Utilization 90% or above – 7 points</w:t>
            </w:r>
          </w:p>
          <w:p w:rsidR="000119A5" w:rsidRPr="00F441D2" w:rsidRDefault="000119A5" w:rsidP="000119A5">
            <w:pPr>
              <w:rPr>
                <w:sz w:val="20"/>
                <w:szCs w:val="20"/>
              </w:rPr>
            </w:pPr>
            <w:r>
              <w:rPr>
                <w:sz w:val="20"/>
                <w:szCs w:val="20"/>
              </w:rPr>
              <w:t>Utilization 85-90% - 4 points</w:t>
            </w:r>
          </w:p>
        </w:tc>
      </w:tr>
      <w:tr w:rsidR="000119A5" w:rsidRPr="00F441D2" w:rsidTr="00072FBC">
        <w:tc>
          <w:tcPr>
            <w:tcW w:w="1872" w:type="dxa"/>
            <w:vMerge/>
            <w:shd w:val="clear" w:color="auto" w:fill="C6D9F1" w:themeFill="text2" w:themeFillTint="33"/>
          </w:tcPr>
          <w:p w:rsidR="000119A5" w:rsidRPr="00F441D2" w:rsidRDefault="000119A5" w:rsidP="000119A5">
            <w:pPr>
              <w:spacing w:before="60" w:after="60"/>
              <w:rPr>
                <w:sz w:val="20"/>
                <w:szCs w:val="20"/>
              </w:rPr>
            </w:pPr>
          </w:p>
        </w:tc>
        <w:tc>
          <w:tcPr>
            <w:tcW w:w="3780" w:type="dxa"/>
            <w:shd w:val="clear" w:color="auto" w:fill="C6D9F1" w:themeFill="text2" w:themeFillTint="33"/>
          </w:tcPr>
          <w:p w:rsidR="000119A5" w:rsidRPr="00F441D2" w:rsidRDefault="000119A5" w:rsidP="000119A5">
            <w:pPr>
              <w:spacing w:before="60" w:after="60"/>
              <w:rPr>
                <w:sz w:val="20"/>
                <w:szCs w:val="20"/>
              </w:rPr>
            </w:pPr>
            <w:r>
              <w:rPr>
                <w:sz w:val="20"/>
                <w:szCs w:val="20"/>
              </w:rPr>
              <w:t>Complete and fully compliant policies &amp; procedures (up to 6 points)</w:t>
            </w:r>
          </w:p>
        </w:tc>
        <w:tc>
          <w:tcPr>
            <w:tcW w:w="5076" w:type="dxa"/>
            <w:shd w:val="clear" w:color="auto" w:fill="C6D9F1" w:themeFill="text2" w:themeFillTint="33"/>
          </w:tcPr>
          <w:p w:rsidR="000119A5" w:rsidRDefault="000119A5" w:rsidP="000119A5">
            <w:pPr>
              <w:spacing w:before="60"/>
              <w:rPr>
                <w:sz w:val="20"/>
                <w:szCs w:val="20"/>
              </w:rPr>
            </w:pPr>
            <w:r>
              <w:rPr>
                <w:sz w:val="20"/>
                <w:szCs w:val="20"/>
              </w:rPr>
              <w:t>All policies &amp; procedures submitted timely – 2 points</w:t>
            </w:r>
          </w:p>
          <w:p w:rsidR="000119A5" w:rsidRPr="00F441D2" w:rsidRDefault="000119A5" w:rsidP="000119A5">
            <w:pPr>
              <w:spacing w:after="60"/>
              <w:rPr>
                <w:sz w:val="20"/>
                <w:szCs w:val="20"/>
              </w:rPr>
            </w:pPr>
            <w:r>
              <w:rPr>
                <w:sz w:val="20"/>
                <w:szCs w:val="20"/>
              </w:rPr>
              <w:t>Policies &amp; procedures compliant with HUD rules – 4 points</w:t>
            </w:r>
          </w:p>
        </w:tc>
      </w:tr>
    </w:tbl>
    <w:tbl>
      <w:tblPr>
        <w:tblStyle w:val="TableGrid"/>
        <w:tblW w:w="10710" w:type="dxa"/>
        <w:tblInd w:w="108" w:type="dxa"/>
        <w:tblLayout w:type="fixed"/>
        <w:tblLook w:val="04A0" w:firstRow="1" w:lastRow="0" w:firstColumn="1" w:lastColumn="0" w:noHBand="0" w:noVBand="1"/>
      </w:tblPr>
      <w:tblGrid>
        <w:gridCol w:w="2126"/>
        <w:gridCol w:w="3150"/>
        <w:gridCol w:w="5434"/>
      </w:tblGrid>
      <w:tr w:rsidR="007A0306" w:rsidRPr="006137D7" w:rsidTr="00072FBC">
        <w:tc>
          <w:tcPr>
            <w:tcW w:w="10710" w:type="dxa"/>
            <w:gridSpan w:val="3"/>
            <w:shd w:val="clear" w:color="auto" w:fill="1F497D" w:themeFill="text2"/>
            <w:vAlign w:val="center"/>
          </w:tcPr>
          <w:p w:rsidR="007A0306" w:rsidRDefault="000119A5" w:rsidP="00AE05DB">
            <w:pPr>
              <w:spacing w:before="60" w:after="60"/>
              <w:jc w:val="center"/>
              <w:rPr>
                <w:b/>
                <w:color w:val="FFFFFF" w:themeColor="background1"/>
                <w:sz w:val="24"/>
                <w:szCs w:val="24"/>
              </w:rPr>
            </w:pPr>
            <w:r>
              <w:lastRenderedPageBreak/>
              <w:br w:type="page"/>
            </w:r>
            <w:r w:rsidR="007A0306">
              <w:br w:type="page"/>
            </w:r>
            <w:r w:rsidR="007A0306">
              <w:br w:type="page"/>
            </w:r>
            <w:r w:rsidR="00AE05DB">
              <w:rPr>
                <w:b/>
                <w:color w:val="FFFFFF" w:themeColor="background1"/>
                <w:sz w:val="24"/>
                <w:szCs w:val="24"/>
              </w:rPr>
              <w:t xml:space="preserve">SCORING FOR </w:t>
            </w:r>
            <w:r w:rsidR="008036F2">
              <w:rPr>
                <w:b/>
                <w:color w:val="FFFFFF" w:themeColor="background1"/>
                <w:sz w:val="24"/>
                <w:szCs w:val="24"/>
              </w:rPr>
              <w:t>PERMANENT SUPPORTIVE HOUSING BONUS FOR FY2014</w:t>
            </w:r>
            <w:r w:rsidR="007A0306">
              <w:rPr>
                <w:b/>
                <w:color w:val="FFFFFF" w:themeColor="background1"/>
                <w:sz w:val="24"/>
                <w:szCs w:val="24"/>
              </w:rPr>
              <w:t xml:space="preserve"> COC PROGRAM COMPETITION </w:t>
            </w:r>
          </w:p>
          <w:p w:rsidR="007F6870" w:rsidRPr="006137D7" w:rsidRDefault="007F6870" w:rsidP="00AE05DB">
            <w:pPr>
              <w:spacing w:before="60" w:after="60"/>
              <w:jc w:val="center"/>
              <w:rPr>
                <w:b/>
                <w:sz w:val="24"/>
                <w:szCs w:val="24"/>
              </w:rPr>
            </w:pPr>
            <w:r w:rsidRPr="005179EC">
              <w:rPr>
                <w:color w:val="FFFFFF" w:themeColor="background1"/>
              </w:rPr>
              <w:t>Total points available: 100</w:t>
            </w:r>
          </w:p>
        </w:tc>
      </w:tr>
      <w:tr w:rsidR="007A0306" w:rsidRPr="00F441D2" w:rsidTr="00072FBC">
        <w:tc>
          <w:tcPr>
            <w:tcW w:w="2126" w:type="dxa"/>
            <w:vMerge w:val="restart"/>
            <w:shd w:val="clear" w:color="auto" w:fill="F2F2F2" w:themeFill="background1" w:themeFillShade="F2"/>
            <w:vAlign w:val="center"/>
          </w:tcPr>
          <w:p w:rsidR="007A0306" w:rsidRDefault="007A0306" w:rsidP="007545F8">
            <w:pPr>
              <w:spacing w:before="60"/>
              <w:rPr>
                <w:b/>
                <w:sz w:val="20"/>
                <w:szCs w:val="20"/>
              </w:rPr>
            </w:pPr>
            <w:r w:rsidRPr="006137D7">
              <w:rPr>
                <w:b/>
                <w:sz w:val="24"/>
                <w:szCs w:val="24"/>
              </w:rPr>
              <w:t>PROGRAM</w:t>
            </w:r>
            <w:r>
              <w:rPr>
                <w:b/>
                <w:sz w:val="20"/>
                <w:szCs w:val="20"/>
              </w:rPr>
              <w:t xml:space="preserve"> </w:t>
            </w:r>
          </w:p>
          <w:p w:rsidR="007A0306" w:rsidRPr="006137D7" w:rsidRDefault="007A0306" w:rsidP="007545F8">
            <w:pPr>
              <w:spacing w:before="60"/>
              <w:rPr>
                <w:sz w:val="20"/>
                <w:szCs w:val="20"/>
              </w:rPr>
            </w:pPr>
            <w:r>
              <w:rPr>
                <w:sz w:val="20"/>
                <w:szCs w:val="20"/>
              </w:rPr>
              <w:t>36</w:t>
            </w:r>
            <w:r w:rsidRPr="006137D7">
              <w:rPr>
                <w:sz w:val="20"/>
                <w:szCs w:val="20"/>
              </w:rPr>
              <w:t xml:space="preserve"> points</w:t>
            </w:r>
          </w:p>
          <w:p w:rsidR="007A0306" w:rsidRPr="004E7DB4" w:rsidRDefault="007A0306" w:rsidP="007545F8">
            <w:pPr>
              <w:spacing w:before="60"/>
              <w:rPr>
                <w:i/>
                <w:sz w:val="20"/>
                <w:szCs w:val="20"/>
              </w:rPr>
            </w:pPr>
            <w:r w:rsidRPr="004E7DB4">
              <w:rPr>
                <w:i/>
                <w:sz w:val="20"/>
                <w:szCs w:val="20"/>
              </w:rPr>
              <w:t xml:space="preserve">Source:   </w:t>
            </w:r>
          </w:p>
          <w:p w:rsidR="007A0306" w:rsidRPr="00F441D2" w:rsidRDefault="007A0306" w:rsidP="007545F8">
            <w:pPr>
              <w:spacing w:after="60"/>
              <w:rPr>
                <w:sz w:val="20"/>
                <w:szCs w:val="20"/>
              </w:rPr>
            </w:pPr>
            <w:r w:rsidRPr="00F441D2">
              <w:rPr>
                <w:sz w:val="20"/>
                <w:szCs w:val="20"/>
              </w:rPr>
              <w:t>Project Application</w:t>
            </w:r>
          </w:p>
          <w:p w:rsidR="007A0306" w:rsidRPr="00F441D2" w:rsidRDefault="007A0306" w:rsidP="007545F8">
            <w:pPr>
              <w:spacing w:before="60" w:after="60"/>
              <w:rPr>
                <w:sz w:val="20"/>
                <w:szCs w:val="20"/>
              </w:rPr>
            </w:pPr>
          </w:p>
        </w:tc>
        <w:tc>
          <w:tcPr>
            <w:tcW w:w="3150" w:type="dxa"/>
            <w:shd w:val="clear" w:color="auto" w:fill="F2F2F2" w:themeFill="background1" w:themeFillShade="F2"/>
          </w:tcPr>
          <w:p w:rsidR="007A0306" w:rsidRPr="00F441D2" w:rsidRDefault="008036F2" w:rsidP="007545F8">
            <w:pPr>
              <w:spacing w:before="60" w:after="60"/>
              <w:rPr>
                <w:sz w:val="20"/>
                <w:szCs w:val="20"/>
              </w:rPr>
            </w:pPr>
            <w:r>
              <w:rPr>
                <w:sz w:val="20"/>
                <w:szCs w:val="20"/>
              </w:rPr>
              <w:t>Housing First model</w:t>
            </w:r>
            <w:r w:rsidR="007A0306">
              <w:rPr>
                <w:sz w:val="20"/>
                <w:szCs w:val="20"/>
              </w:rPr>
              <w:t xml:space="preserve"> (up to 16 points)</w:t>
            </w:r>
          </w:p>
        </w:tc>
        <w:tc>
          <w:tcPr>
            <w:tcW w:w="5434" w:type="dxa"/>
            <w:shd w:val="clear" w:color="auto" w:fill="F2F2F2" w:themeFill="background1" w:themeFillShade="F2"/>
          </w:tcPr>
          <w:p w:rsidR="007A0306" w:rsidRDefault="008036F2" w:rsidP="00E35DA4">
            <w:pPr>
              <w:spacing w:before="60"/>
              <w:rPr>
                <w:sz w:val="20"/>
                <w:szCs w:val="20"/>
              </w:rPr>
            </w:pPr>
            <w:r>
              <w:rPr>
                <w:sz w:val="20"/>
                <w:szCs w:val="20"/>
              </w:rPr>
              <w:t xml:space="preserve">Housing First </w:t>
            </w:r>
            <w:r w:rsidR="007A0306">
              <w:rPr>
                <w:sz w:val="20"/>
                <w:szCs w:val="20"/>
              </w:rPr>
              <w:t xml:space="preserve"> – 16</w:t>
            </w:r>
            <w:r w:rsidR="007A0306" w:rsidRPr="00F441D2">
              <w:rPr>
                <w:sz w:val="20"/>
                <w:szCs w:val="20"/>
              </w:rPr>
              <w:t xml:space="preserve"> points</w:t>
            </w:r>
          </w:p>
          <w:p w:rsidR="007A0306" w:rsidRPr="00F441D2" w:rsidRDefault="008036F2" w:rsidP="008036F2">
            <w:pPr>
              <w:rPr>
                <w:sz w:val="20"/>
                <w:szCs w:val="20"/>
              </w:rPr>
            </w:pPr>
            <w:r>
              <w:rPr>
                <w:sz w:val="20"/>
                <w:szCs w:val="20"/>
              </w:rPr>
              <w:t>Other</w:t>
            </w:r>
            <w:r w:rsidR="00C95232">
              <w:rPr>
                <w:sz w:val="20"/>
                <w:szCs w:val="20"/>
              </w:rPr>
              <w:t xml:space="preserve"> model</w:t>
            </w:r>
            <w:r>
              <w:rPr>
                <w:sz w:val="20"/>
                <w:szCs w:val="20"/>
              </w:rPr>
              <w:t xml:space="preserve"> – 16 points</w:t>
            </w:r>
          </w:p>
        </w:tc>
      </w:tr>
      <w:tr w:rsidR="007A0306" w:rsidTr="00072FBC">
        <w:tc>
          <w:tcPr>
            <w:tcW w:w="2126" w:type="dxa"/>
            <w:vMerge/>
            <w:shd w:val="clear" w:color="auto" w:fill="F2F2F2" w:themeFill="background1" w:themeFillShade="F2"/>
          </w:tcPr>
          <w:p w:rsidR="007A0306" w:rsidRPr="00F441D2" w:rsidRDefault="007A0306" w:rsidP="007545F8">
            <w:pPr>
              <w:spacing w:before="60" w:after="60"/>
              <w:rPr>
                <w:sz w:val="20"/>
                <w:szCs w:val="20"/>
              </w:rPr>
            </w:pPr>
          </w:p>
        </w:tc>
        <w:tc>
          <w:tcPr>
            <w:tcW w:w="3150" w:type="dxa"/>
            <w:shd w:val="clear" w:color="auto" w:fill="F2F2F2" w:themeFill="background1" w:themeFillShade="F2"/>
          </w:tcPr>
          <w:p w:rsidR="007A0306" w:rsidRDefault="007A0306" w:rsidP="007545F8">
            <w:pPr>
              <w:spacing w:before="60" w:after="60"/>
              <w:rPr>
                <w:sz w:val="20"/>
                <w:szCs w:val="20"/>
              </w:rPr>
            </w:pPr>
            <w:r>
              <w:rPr>
                <w:sz w:val="20"/>
                <w:szCs w:val="20"/>
              </w:rPr>
              <w:t>Contributes to geographic diversity of services (up to 5 points)</w:t>
            </w:r>
          </w:p>
        </w:tc>
        <w:tc>
          <w:tcPr>
            <w:tcW w:w="5434" w:type="dxa"/>
            <w:shd w:val="clear" w:color="auto" w:fill="F2F2F2" w:themeFill="background1" w:themeFillShade="F2"/>
          </w:tcPr>
          <w:p w:rsidR="007A0306" w:rsidRDefault="007A0306" w:rsidP="007545F8">
            <w:pPr>
              <w:spacing w:before="60"/>
              <w:rPr>
                <w:sz w:val="20"/>
                <w:szCs w:val="20"/>
              </w:rPr>
            </w:pPr>
            <w:r>
              <w:rPr>
                <w:sz w:val="20"/>
                <w:szCs w:val="20"/>
              </w:rPr>
              <w:t>Largely underserved</w:t>
            </w:r>
            <w:r w:rsidR="00120C23">
              <w:rPr>
                <w:sz w:val="20"/>
                <w:szCs w:val="20"/>
              </w:rPr>
              <w:t xml:space="preserve"> geographic </w:t>
            </w:r>
            <w:r>
              <w:rPr>
                <w:sz w:val="20"/>
                <w:szCs w:val="20"/>
              </w:rPr>
              <w:t>location –5points</w:t>
            </w:r>
          </w:p>
          <w:p w:rsidR="007A0306" w:rsidRDefault="007A0306" w:rsidP="007545F8">
            <w:pPr>
              <w:spacing w:after="60"/>
              <w:rPr>
                <w:sz w:val="20"/>
                <w:szCs w:val="20"/>
              </w:rPr>
            </w:pPr>
            <w:r>
              <w:rPr>
                <w:sz w:val="20"/>
                <w:szCs w:val="20"/>
              </w:rPr>
              <w:t xml:space="preserve">Moderately underserved </w:t>
            </w:r>
            <w:r w:rsidR="00120C23">
              <w:rPr>
                <w:sz w:val="20"/>
                <w:szCs w:val="20"/>
              </w:rPr>
              <w:t xml:space="preserve">geographic </w:t>
            </w:r>
            <w:r w:rsidR="008036F2">
              <w:rPr>
                <w:sz w:val="20"/>
                <w:szCs w:val="20"/>
              </w:rPr>
              <w:t>location – 2</w:t>
            </w:r>
            <w:r>
              <w:rPr>
                <w:sz w:val="20"/>
                <w:szCs w:val="20"/>
              </w:rPr>
              <w:t xml:space="preserve"> points</w:t>
            </w:r>
          </w:p>
        </w:tc>
      </w:tr>
      <w:tr w:rsidR="007A0306" w:rsidTr="00072FBC">
        <w:trPr>
          <w:trHeight w:val="692"/>
        </w:trPr>
        <w:tc>
          <w:tcPr>
            <w:tcW w:w="2126" w:type="dxa"/>
            <w:vMerge/>
            <w:shd w:val="clear" w:color="auto" w:fill="F2F2F2" w:themeFill="background1" w:themeFillShade="F2"/>
          </w:tcPr>
          <w:p w:rsidR="007A0306" w:rsidRPr="00F441D2" w:rsidRDefault="007A0306" w:rsidP="007545F8">
            <w:pPr>
              <w:spacing w:before="60" w:after="60"/>
              <w:rPr>
                <w:sz w:val="20"/>
                <w:szCs w:val="20"/>
              </w:rPr>
            </w:pPr>
          </w:p>
        </w:tc>
        <w:tc>
          <w:tcPr>
            <w:tcW w:w="3150" w:type="dxa"/>
            <w:shd w:val="clear" w:color="auto" w:fill="F2F2F2" w:themeFill="background1" w:themeFillShade="F2"/>
          </w:tcPr>
          <w:p w:rsidR="007A0306" w:rsidRDefault="008036F2" w:rsidP="007545F8">
            <w:pPr>
              <w:spacing w:before="60" w:after="60"/>
              <w:rPr>
                <w:sz w:val="20"/>
                <w:szCs w:val="20"/>
              </w:rPr>
            </w:pPr>
            <w:r>
              <w:rPr>
                <w:sz w:val="20"/>
                <w:szCs w:val="20"/>
              </w:rPr>
              <w:t>Commits to use Coordinated Assessment: VI-SPDAT and prioritization (up to 5 points)</w:t>
            </w:r>
          </w:p>
        </w:tc>
        <w:tc>
          <w:tcPr>
            <w:tcW w:w="5434" w:type="dxa"/>
            <w:shd w:val="clear" w:color="auto" w:fill="F2F2F2" w:themeFill="background1" w:themeFillShade="F2"/>
          </w:tcPr>
          <w:p w:rsidR="007A0306" w:rsidRDefault="008036F2" w:rsidP="007545F8">
            <w:pPr>
              <w:spacing w:before="60" w:after="60"/>
              <w:rPr>
                <w:sz w:val="20"/>
                <w:szCs w:val="20"/>
              </w:rPr>
            </w:pPr>
            <w:r>
              <w:rPr>
                <w:sz w:val="20"/>
                <w:szCs w:val="20"/>
              </w:rPr>
              <w:t>Yes</w:t>
            </w:r>
            <w:r w:rsidR="007A0306">
              <w:rPr>
                <w:sz w:val="20"/>
                <w:szCs w:val="20"/>
              </w:rPr>
              <w:t>–5 points</w:t>
            </w:r>
          </w:p>
          <w:p w:rsidR="008036F2" w:rsidRDefault="008036F2" w:rsidP="008036F2">
            <w:pPr>
              <w:spacing w:before="60" w:after="60"/>
              <w:rPr>
                <w:sz w:val="20"/>
                <w:szCs w:val="20"/>
              </w:rPr>
            </w:pPr>
            <w:r>
              <w:rPr>
                <w:sz w:val="20"/>
                <w:szCs w:val="20"/>
              </w:rPr>
              <w:t>No—0 points</w:t>
            </w:r>
          </w:p>
        </w:tc>
      </w:tr>
      <w:tr w:rsidR="008036F2" w:rsidTr="00072FBC">
        <w:tc>
          <w:tcPr>
            <w:tcW w:w="2126" w:type="dxa"/>
            <w:vMerge/>
            <w:shd w:val="clear" w:color="auto" w:fill="F2F2F2" w:themeFill="background1" w:themeFillShade="F2"/>
          </w:tcPr>
          <w:p w:rsidR="008036F2" w:rsidRPr="00F441D2" w:rsidRDefault="008036F2" w:rsidP="007545F8">
            <w:pPr>
              <w:spacing w:before="60" w:after="60"/>
              <w:rPr>
                <w:sz w:val="20"/>
                <w:szCs w:val="20"/>
              </w:rPr>
            </w:pPr>
          </w:p>
        </w:tc>
        <w:tc>
          <w:tcPr>
            <w:tcW w:w="3150" w:type="dxa"/>
            <w:shd w:val="clear" w:color="auto" w:fill="F2F2F2" w:themeFill="background1" w:themeFillShade="F2"/>
          </w:tcPr>
          <w:p w:rsidR="008036F2" w:rsidRDefault="00C95232" w:rsidP="00AE05DB">
            <w:pPr>
              <w:spacing w:before="60" w:after="60"/>
              <w:rPr>
                <w:sz w:val="20"/>
                <w:szCs w:val="20"/>
              </w:rPr>
            </w:pPr>
            <w:r>
              <w:rPr>
                <w:sz w:val="20"/>
                <w:szCs w:val="20"/>
              </w:rPr>
              <w:t>Demonstrated connection to m</w:t>
            </w:r>
            <w:r w:rsidR="008036F2">
              <w:rPr>
                <w:sz w:val="20"/>
                <w:szCs w:val="20"/>
              </w:rPr>
              <w:t xml:space="preserve">ainstream </w:t>
            </w:r>
            <w:r>
              <w:rPr>
                <w:sz w:val="20"/>
                <w:szCs w:val="20"/>
              </w:rPr>
              <w:t>service systems (up to 5 points)</w:t>
            </w:r>
          </w:p>
        </w:tc>
        <w:tc>
          <w:tcPr>
            <w:tcW w:w="5434" w:type="dxa"/>
            <w:shd w:val="clear" w:color="auto" w:fill="F2F2F2" w:themeFill="background1" w:themeFillShade="F2"/>
          </w:tcPr>
          <w:p w:rsidR="008036F2" w:rsidRDefault="00C95232" w:rsidP="001241CC">
            <w:pPr>
              <w:spacing w:before="60"/>
              <w:rPr>
                <w:sz w:val="20"/>
                <w:szCs w:val="20"/>
              </w:rPr>
            </w:pPr>
            <w:r>
              <w:rPr>
                <w:sz w:val="20"/>
                <w:szCs w:val="20"/>
              </w:rPr>
              <w:t>Yes—5 points</w:t>
            </w:r>
          </w:p>
          <w:p w:rsidR="00C95232" w:rsidRDefault="00C95232" w:rsidP="001241CC">
            <w:pPr>
              <w:spacing w:before="60"/>
              <w:rPr>
                <w:sz w:val="20"/>
                <w:szCs w:val="20"/>
              </w:rPr>
            </w:pPr>
            <w:r>
              <w:rPr>
                <w:sz w:val="20"/>
                <w:szCs w:val="20"/>
              </w:rPr>
              <w:t>No—0 points</w:t>
            </w:r>
          </w:p>
        </w:tc>
      </w:tr>
      <w:tr w:rsidR="007A0306" w:rsidTr="00072FBC">
        <w:tc>
          <w:tcPr>
            <w:tcW w:w="2126" w:type="dxa"/>
            <w:vMerge/>
            <w:shd w:val="clear" w:color="auto" w:fill="F2F2F2" w:themeFill="background1" w:themeFillShade="F2"/>
          </w:tcPr>
          <w:p w:rsidR="007A0306" w:rsidRPr="00F441D2" w:rsidRDefault="007A0306" w:rsidP="007545F8">
            <w:pPr>
              <w:spacing w:before="60" w:after="60"/>
              <w:rPr>
                <w:sz w:val="20"/>
                <w:szCs w:val="20"/>
              </w:rPr>
            </w:pPr>
          </w:p>
        </w:tc>
        <w:tc>
          <w:tcPr>
            <w:tcW w:w="3150" w:type="dxa"/>
            <w:shd w:val="clear" w:color="auto" w:fill="F2F2F2" w:themeFill="background1" w:themeFillShade="F2"/>
          </w:tcPr>
          <w:p w:rsidR="007A0306" w:rsidRDefault="007A0306" w:rsidP="00C95232">
            <w:pPr>
              <w:spacing w:before="60" w:after="60"/>
              <w:rPr>
                <w:sz w:val="20"/>
                <w:szCs w:val="20"/>
              </w:rPr>
            </w:pPr>
            <w:r>
              <w:rPr>
                <w:sz w:val="20"/>
                <w:szCs w:val="20"/>
              </w:rPr>
              <w:t>Site Type: scattered</w:t>
            </w:r>
            <w:r w:rsidR="00AE05DB">
              <w:rPr>
                <w:sz w:val="20"/>
                <w:szCs w:val="20"/>
              </w:rPr>
              <w:t xml:space="preserve"> (</w:t>
            </w:r>
            <w:r w:rsidR="00C95232">
              <w:rPr>
                <w:sz w:val="20"/>
                <w:szCs w:val="20"/>
              </w:rPr>
              <w:t>5</w:t>
            </w:r>
            <w:r w:rsidR="00AE05DB">
              <w:rPr>
                <w:sz w:val="20"/>
                <w:szCs w:val="20"/>
              </w:rPr>
              <w:t>points)</w:t>
            </w:r>
          </w:p>
        </w:tc>
        <w:tc>
          <w:tcPr>
            <w:tcW w:w="5434" w:type="dxa"/>
            <w:shd w:val="clear" w:color="auto" w:fill="F2F2F2" w:themeFill="background1" w:themeFillShade="F2"/>
          </w:tcPr>
          <w:p w:rsidR="007A0306" w:rsidRDefault="001241CC" w:rsidP="001241CC">
            <w:pPr>
              <w:spacing w:before="60"/>
              <w:rPr>
                <w:sz w:val="20"/>
                <w:szCs w:val="20"/>
              </w:rPr>
            </w:pPr>
            <w:r>
              <w:rPr>
                <w:sz w:val="20"/>
                <w:szCs w:val="20"/>
              </w:rPr>
              <w:t>Program uses a s</w:t>
            </w:r>
            <w:r w:rsidR="007A0306">
              <w:rPr>
                <w:sz w:val="20"/>
                <w:szCs w:val="20"/>
              </w:rPr>
              <w:t xml:space="preserve">cattered site </w:t>
            </w:r>
            <w:r>
              <w:rPr>
                <w:sz w:val="20"/>
                <w:szCs w:val="20"/>
              </w:rPr>
              <w:t xml:space="preserve">model </w:t>
            </w:r>
            <w:r w:rsidR="007A0306">
              <w:rPr>
                <w:sz w:val="20"/>
                <w:szCs w:val="20"/>
              </w:rPr>
              <w:t xml:space="preserve"> – </w:t>
            </w:r>
            <w:r w:rsidR="00C95232">
              <w:rPr>
                <w:sz w:val="20"/>
                <w:szCs w:val="20"/>
              </w:rPr>
              <w:t>5</w:t>
            </w:r>
            <w:r w:rsidR="007A0306">
              <w:rPr>
                <w:sz w:val="20"/>
                <w:szCs w:val="20"/>
              </w:rPr>
              <w:t xml:space="preserve"> points</w:t>
            </w:r>
          </w:p>
        </w:tc>
      </w:tr>
      <w:tr w:rsidR="007A0306" w:rsidRPr="00F441D2" w:rsidTr="007545F8">
        <w:trPr>
          <w:cantSplit/>
          <w:trHeight w:val="1025"/>
        </w:trPr>
        <w:tc>
          <w:tcPr>
            <w:tcW w:w="2126" w:type="dxa"/>
            <w:vMerge w:val="restart"/>
            <w:tcBorders>
              <w:bottom w:val="single" w:sz="4" w:space="0" w:color="auto"/>
            </w:tcBorders>
            <w:shd w:val="clear" w:color="auto" w:fill="C6D9F1" w:themeFill="text2" w:themeFillTint="33"/>
            <w:vAlign w:val="center"/>
          </w:tcPr>
          <w:p w:rsidR="007A0306" w:rsidRPr="006137D7" w:rsidRDefault="00E35DA4" w:rsidP="007545F8">
            <w:pPr>
              <w:spacing w:before="60"/>
              <w:rPr>
                <w:b/>
                <w:sz w:val="24"/>
                <w:szCs w:val="24"/>
              </w:rPr>
            </w:pPr>
            <w:r>
              <w:rPr>
                <w:b/>
                <w:sz w:val="24"/>
                <w:szCs w:val="24"/>
              </w:rPr>
              <w:t xml:space="preserve">AGENCY </w:t>
            </w:r>
            <w:r w:rsidR="00E11F68">
              <w:rPr>
                <w:b/>
                <w:sz w:val="24"/>
                <w:szCs w:val="24"/>
              </w:rPr>
              <w:t>EX</w:t>
            </w:r>
            <w:r w:rsidR="007A0306">
              <w:rPr>
                <w:b/>
                <w:sz w:val="24"/>
                <w:szCs w:val="24"/>
              </w:rPr>
              <w:t xml:space="preserve">PERIENCE and </w:t>
            </w:r>
            <w:r>
              <w:rPr>
                <w:b/>
                <w:sz w:val="24"/>
                <w:szCs w:val="24"/>
              </w:rPr>
              <w:t>HISTORY OF PARTCIPATION &amp; COLLABORATION</w:t>
            </w:r>
          </w:p>
          <w:p w:rsidR="007A0306" w:rsidRPr="006137D7" w:rsidRDefault="007A0306" w:rsidP="007545F8">
            <w:pPr>
              <w:spacing w:after="60"/>
              <w:rPr>
                <w:sz w:val="20"/>
                <w:szCs w:val="20"/>
              </w:rPr>
            </w:pPr>
            <w:r w:rsidRPr="006137D7">
              <w:rPr>
                <w:sz w:val="20"/>
                <w:szCs w:val="20"/>
              </w:rPr>
              <w:t>2</w:t>
            </w:r>
            <w:r>
              <w:rPr>
                <w:sz w:val="20"/>
                <w:szCs w:val="20"/>
              </w:rPr>
              <w:t>4</w:t>
            </w:r>
            <w:r w:rsidRPr="006137D7">
              <w:rPr>
                <w:sz w:val="20"/>
                <w:szCs w:val="20"/>
              </w:rPr>
              <w:t xml:space="preserve"> points</w:t>
            </w:r>
          </w:p>
          <w:p w:rsidR="007A0306" w:rsidRPr="00F441D2" w:rsidRDefault="007A0306" w:rsidP="007545F8">
            <w:pPr>
              <w:spacing w:before="60" w:after="60"/>
              <w:rPr>
                <w:sz w:val="20"/>
                <w:szCs w:val="20"/>
              </w:rPr>
            </w:pPr>
            <w:r w:rsidRPr="00F441D2">
              <w:rPr>
                <w:sz w:val="20"/>
                <w:szCs w:val="20"/>
              </w:rPr>
              <w:t xml:space="preserve">     </w:t>
            </w:r>
          </w:p>
          <w:p w:rsidR="00D27C88" w:rsidRDefault="007A0306" w:rsidP="007545F8">
            <w:pPr>
              <w:spacing w:before="60"/>
              <w:rPr>
                <w:i/>
                <w:sz w:val="20"/>
                <w:szCs w:val="20"/>
              </w:rPr>
            </w:pPr>
            <w:r w:rsidRPr="004E7DB4">
              <w:rPr>
                <w:i/>
                <w:sz w:val="20"/>
                <w:szCs w:val="20"/>
              </w:rPr>
              <w:t>Source:</w:t>
            </w:r>
          </w:p>
          <w:p w:rsidR="007A0306" w:rsidRPr="004E7DB4" w:rsidRDefault="00D27C88" w:rsidP="007545F8">
            <w:pPr>
              <w:spacing w:before="60"/>
              <w:rPr>
                <w:i/>
                <w:sz w:val="20"/>
                <w:szCs w:val="20"/>
              </w:rPr>
            </w:pPr>
            <w:r>
              <w:rPr>
                <w:sz w:val="20"/>
                <w:szCs w:val="20"/>
              </w:rPr>
              <w:t>Application</w:t>
            </w:r>
            <w:r w:rsidR="007A0306" w:rsidRPr="004E7DB4">
              <w:rPr>
                <w:i/>
                <w:sz w:val="20"/>
                <w:szCs w:val="20"/>
              </w:rPr>
              <w:t xml:space="preserve">  </w:t>
            </w:r>
          </w:p>
          <w:p w:rsidR="007A0306" w:rsidRPr="00F441D2" w:rsidRDefault="007A0306" w:rsidP="007545F8">
            <w:pPr>
              <w:spacing w:before="60" w:after="60"/>
              <w:rPr>
                <w:sz w:val="20"/>
                <w:szCs w:val="20"/>
              </w:rPr>
            </w:pPr>
          </w:p>
        </w:tc>
        <w:tc>
          <w:tcPr>
            <w:tcW w:w="3150" w:type="dxa"/>
            <w:tcBorders>
              <w:bottom w:val="single" w:sz="4" w:space="0" w:color="auto"/>
            </w:tcBorders>
            <w:shd w:val="clear" w:color="auto" w:fill="C6D9F1" w:themeFill="text2" w:themeFillTint="33"/>
          </w:tcPr>
          <w:p w:rsidR="007A0306" w:rsidRPr="00F441D2" w:rsidRDefault="00E66FB6" w:rsidP="007545F8">
            <w:pPr>
              <w:spacing w:after="60"/>
              <w:rPr>
                <w:sz w:val="20"/>
                <w:szCs w:val="20"/>
              </w:rPr>
            </w:pPr>
            <w:r>
              <w:rPr>
                <w:sz w:val="20"/>
                <w:szCs w:val="20"/>
              </w:rPr>
              <w:t>Agency experience in performing the proposed activities and in utilizing federal funds</w:t>
            </w:r>
            <w:r w:rsidR="007545F8">
              <w:rPr>
                <w:sz w:val="20"/>
                <w:szCs w:val="20"/>
              </w:rPr>
              <w:t xml:space="preserve"> (up to 6 points)</w:t>
            </w:r>
          </w:p>
        </w:tc>
        <w:tc>
          <w:tcPr>
            <w:tcW w:w="5434" w:type="dxa"/>
            <w:tcBorders>
              <w:bottom w:val="single" w:sz="4" w:space="0" w:color="auto"/>
            </w:tcBorders>
            <w:shd w:val="clear" w:color="auto" w:fill="C6D9F1" w:themeFill="text2" w:themeFillTint="33"/>
            <w:vAlign w:val="center"/>
          </w:tcPr>
          <w:p w:rsidR="007A0306" w:rsidRDefault="007545F8" w:rsidP="007A0306">
            <w:pPr>
              <w:spacing w:before="60" w:after="60"/>
              <w:rPr>
                <w:sz w:val="20"/>
                <w:szCs w:val="20"/>
              </w:rPr>
            </w:pPr>
            <w:r>
              <w:rPr>
                <w:sz w:val="20"/>
                <w:szCs w:val="20"/>
              </w:rPr>
              <w:t>Extensive experience serving population or performing the proposed activities – 6 points</w:t>
            </w:r>
          </w:p>
          <w:p w:rsidR="007A0306" w:rsidRPr="00F441D2" w:rsidRDefault="007545F8" w:rsidP="007545F8">
            <w:pPr>
              <w:spacing w:before="60" w:after="60"/>
              <w:rPr>
                <w:sz w:val="20"/>
                <w:szCs w:val="20"/>
              </w:rPr>
            </w:pPr>
            <w:r>
              <w:rPr>
                <w:sz w:val="20"/>
                <w:szCs w:val="20"/>
              </w:rPr>
              <w:t>Some experience serving population or performing the proposed activities – 3 points</w:t>
            </w:r>
          </w:p>
        </w:tc>
      </w:tr>
      <w:tr w:rsidR="007A0306" w:rsidRPr="00F441D2" w:rsidTr="00072FBC">
        <w:trPr>
          <w:trHeight w:val="962"/>
        </w:trPr>
        <w:tc>
          <w:tcPr>
            <w:tcW w:w="2126" w:type="dxa"/>
            <w:vMerge/>
            <w:shd w:val="clear" w:color="auto" w:fill="C6D9F1" w:themeFill="text2" w:themeFillTint="33"/>
          </w:tcPr>
          <w:p w:rsidR="007A0306" w:rsidRPr="00F441D2" w:rsidRDefault="007A0306" w:rsidP="007545F8">
            <w:pPr>
              <w:spacing w:before="60" w:after="60"/>
              <w:rPr>
                <w:sz w:val="20"/>
                <w:szCs w:val="20"/>
              </w:rPr>
            </w:pPr>
          </w:p>
        </w:tc>
        <w:tc>
          <w:tcPr>
            <w:tcW w:w="3150" w:type="dxa"/>
            <w:shd w:val="clear" w:color="auto" w:fill="C6D9F1" w:themeFill="text2" w:themeFillTint="33"/>
          </w:tcPr>
          <w:p w:rsidR="007A0306" w:rsidRPr="00E66FB6" w:rsidRDefault="00E66FB6" w:rsidP="007545F8">
            <w:pPr>
              <w:spacing w:after="60"/>
              <w:rPr>
                <w:rFonts w:cstheme="minorHAnsi"/>
                <w:sz w:val="20"/>
                <w:szCs w:val="20"/>
              </w:rPr>
            </w:pPr>
            <w:r w:rsidRPr="00E66FB6">
              <w:rPr>
                <w:rFonts w:cstheme="minorHAnsi"/>
                <w:bCs/>
                <w:color w:val="000000"/>
                <w:sz w:val="20"/>
                <w:szCs w:val="20"/>
              </w:rPr>
              <w:t xml:space="preserve">Applicant’s organization and </w:t>
            </w:r>
            <w:r>
              <w:rPr>
                <w:rFonts w:cstheme="minorHAnsi"/>
                <w:bCs/>
                <w:color w:val="000000"/>
                <w:sz w:val="20"/>
                <w:szCs w:val="20"/>
              </w:rPr>
              <w:t>m</w:t>
            </w:r>
            <w:r w:rsidRPr="00E66FB6">
              <w:rPr>
                <w:rFonts w:cstheme="minorHAnsi"/>
                <w:bCs/>
                <w:color w:val="000000"/>
                <w:sz w:val="20"/>
                <w:szCs w:val="20"/>
              </w:rPr>
              <w:t xml:space="preserve">anagement structure </w:t>
            </w:r>
            <w:r>
              <w:rPr>
                <w:rFonts w:cstheme="minorHAnsi"/>
                <w:bCs/>
                <w:color w:val="000000"/>
                <w:sz w:val="20"/>
                <w:szCs w:val="20"/>
              </w:rPr>
              <w:t>d</w:t>
            </w:r>
            <w:r w:rsidRPr="00E66FB6">
              <w:rPr>
                <w:rFonts w:cstheme="minorHAnsi"/>
                <w:bCs/>
                <w:color w:val="000000"/>
                <w:sz w:val="20"/>
                <w:szCs w:val="20"/>
              </w:rPr>
              <w:t>emonstrates internal coordination and an adequ</w:t>
            </w:r>
            <w:r>
              <w:rPr>
                <w:rFonts w:cstheme="minorHAnsi"/>
                <w:bCs/>
                <w:color w:val="000000"/>
                <w:sz w:val="20"/>
                <w:szCs w:val="20"/>
              </w:rPr>
              <w:t>ate financial accounting system</w:t>
            </w:r>
            <w:r w:rsidR="007545F8">
              <w:rPr>
                <w:rFonts w:cstheme="minorHAnsi"/>
                <w:bCs/>
                <w:color w:val="000000"/>
                <w:sz w:val="20"/>
                <w:szCs w:val="20"/>
              </w:rPr>
              <w:t xml:space="preserve"> (up to 6 points)</w:t>
            </w:r>
          </w:p>
        </w:tc>
        <w:tc>
          <w:tcPr>
            <w:tcW w:w="5434" w:type="dxa"/>
            <w:shd w:val="clear" w:color="auto" w:fill="C6D9F1" w:themeFill="text2" w:themeFillTint="33"/>
          </w:tcPr>
          <w:p w:rsidR="007A0306" w:rsidRDefault="007545F8" w:rsidP="007545F8">
            <w:pPr>
              <w:spacing w:before="60" w:after="60"/>
              <w:rPr>
                <w:sz w:val="20"/>
                <w:szCs w:val="20"/>
              </w:rPr>
            </w:pPr>
            <w:r>
              <w:rPr>
                <w:sz w:val="20"/>
                <w:szCs w:val="20"/>
              </w:rPr>
              <w:t>Description shows strong coordination &amp; financial accounting – 6 points</w:t>
            </w:r>
          </w:p>
          <w:p w:rsidR="007545F8" w:rsidRPr="00F441D2" w:rsidRDefault="007545F8" w:rsidP="007545F8">
            <w:pPr>
              <w:spacing w:before="60" w:after="60"/>
              <w:rPr>
                <w:sz w:val="20"/>
                <w:szCs w:val="20"/>
              </w:rPr>
            </w:pPr>
            <w:r>
              <w:rPr>
                <w:sz w:val="20"/>
                <w:szCs w:val="20"/>
              </w:rPr>
              <w:t>Description shows adequate coordination &amp; financial accounting – 3 points</w:t>
            </w:r>
          </w:p>
        </w:tc>
      </w:tr>
      <w:tr w:rsidR="007A0306" w:rsidRPr="00F441D2" w:rsidTr="00072FBC">
        <w:trPr>
          <w:cantSplit/>
          <w:trHeight w:val="827"/>
        </w:trPr>
        <w:tc>
          <w:tcPr>
            <w:tcW w:w="2126" w:type="dxa"/>
            <w:vMerge/>
            <w:shd w:val="clear" w:color="auto" w:fill="C6D9F1" w:themeFill="text2" w:themeFillTint="33"/>
          </w:tcPr>
          <w:p w:rsidR="007A0306" w:rsidRPr="00F441D2" w:rsidRDefault="007A0306" w:rsidP="007545F8">
            <w:pPr>
              <w:spacing w:before="60" w:after="60"/>
              <w:rPr>
                <w:sz w:val="20"/>
                <w:szCs w:val="20"/>
              </w:rPr>
            </w:pPr>
          </w:p>
        </w:tc>
        <w:tc>
          <w:tcPr>
            <w:tcW w:w="3150" w:type="dxa"/>
            <w:shd w:val="clear" w:color="auto" w:fill="C6D9F1" w:themeFill="text2" w:themeFillTint="33"/>
          </w:tcPr>
          <w:p w:rsidR="007A0306" w:rsidRPr="00F441D2" w:rsidRDefault="006313D4" w:rsidP="007545F8">
            <w:pPr>
              <w:spacing w:after="60"/>
              <w:rPr>
                <w:sz w:val="20"/>
                <w:szCs w:val="20"/>
              </w:rPr>
            </w:pPr>
            <w:r>
              <w:rPr>
                <w:sz w:val="20"/>
                <w:szCs w:val="20"/>
              </w:rPr>
              <w:t>Participation in CoC or Network</w:t>
            </w:r>
            <w:r w:rsidR="007545F8">
              <w:rPr>
                <w:sz w:val="20"/>
                <w:szCs w:val="20"/>
              </w:rPr>
              <w:t xml:space="preserve"> (up to 6 points) </w:t>
            </w:r>
          </w:p>
        </w:tc>
        <w:tc>
          <w:tcPr>
            <w:tcW w:w="5434" w:type="dxa"/>
            <w:shd w:val="clear" w:color="auto" w:fill="C6D9F1" w:themeFill="text2" w:themeFillTint="33"/>
          </w:tcPr>
          <w:p w:rsidR="007A0306" w:rsidRDefault="00120C23" w:rsidP="00120C23">
            <w:pPr>
              <w:rPr>
                <w:sz w:val="20"/>
                <w:szCs w:val="20"/>
              </w:rPr>
            </w:pPr>
            <w:r>
              <w:rPr>
                <w:sz w:val="20"/>
                <w:szCs w:val="20"/>
              </w:rPr>
              <w:t>Regular attendance at CoC/Network meetings</w:t>
            </w:r>
            <w:r w:rsidR="007545F8">
              <w:rPr>
                <w:sz w:val="20"/>
                <w:szCs w:val="20"/>
              </w:rPr>
              <w:t xml:space="preserve"> – 6 points</w:t>
            </w:r>
          </w:p>
          <w:p w:rsidR="00120C23" w:rsidRDefault="00120C23" w:rsidP="00120C23">
            <w:pPr>
              <w:rPr>
                <w:sz w:val="20"/>
                <w:szCs w:val="20"/>
              </w:rPr>
            </w:pPr>
            <w:r>
              <w:rPr>
                <w:sz w:val="20"/>
                <w:szCs w:val="20"/>
              </w:rPr>
              <w:t>Occasional attendance at CoC/Network meetings</w:t>
            </w:r>
            <w:r w:rsidR="007545F8">
              <w:rPr>
                <w:sz w:val="20"/>
                <w:szCs w:val="20"/>
              </w:rPr>
              <w:t xml:space="preserve"> – 5 points</w:t>
            </w:r>
          </w:p>
          <w:p w:rsidR="00120C23" w:rsidRPr="00F441D2" w:rsidRDefault="00120C23" w:rsidP="006E3ABF">
            <w:pPr>
              <w:rPr>
                <w:sz w:val="20"/>
                <w:szCs w:val="20"/>
              </w:rPr>
            </w:pPr>
            <w:r>
              <w:rPr>
                <w:sz w:val="20"/>
                <w:szCs w:val="20"/>
              </w:rPr>
              <w:t>Infrequent attendance</w:t>
            </w:r>
            <w:r w:rsidR="006E3ABF">
              <w:rPr>
                <w:sz w:val="20"/>
                <w:szCs w:val="20"/>
              </w:rPr>
              <w:t xml:space="preserve"> – 3</w:t>
            </w:r>
            <w:r w:rsidR="007545F8">
              <w:rPr>
                <w:sz w:val="20"/>
                <w:szCs w:val="20"/>
              </w:rPr>
              <w:t xml:space="preserve"> points</w:t>
            </w:r>
          </w:p>
        </w:tc>
      </w:tr>
      <w:tr w:rsidR="007A0306" w:rsidRPr="00F441D2" w:rsidTr="00072FBC">
        <w:trPr>
          <w:cantSplit/>
          <w:trHeight w:val="890"/>
        </w:trPr>
        <w:tc>
          <w:tcPr>
            <w:tcW w:w="2126" w:type="dxa"/>
            <w:vMerge/>
            <w:shd w:val="clear" w:color="auto" w:fill="C6D9F1" w:themeFill="text2" w:themeFillTint="33"/>
          </w:tcPr>
          <w:p w:rsidR="007A0306" w:rsidRPr="00F441D2" w:rsidRDefault="007A0306" w:rsidP="007545F8">
            <w:pPr>
              <w:spacing w:before="60" w:after="60"/>
              <w:rPr>
                <w:sz w:val="20"/>
                <w:szCs w:val="20"/>
              </w:rPr>
            </w:pPr>
          </w:p>
        </w:tc>
        <w:tc>
          <w:tcPr>
            <w:tcW w:w="3150" w:type="dxa"/>
            <w:shd w:val="clear" w:color="auto" w:fill="C6D9F1" w:themeFill="text2" w:themeFillTint="33"/>
          </w:tcPr>
          <w:p w:rsidR="007A0306" w:rsidRPr="00F441D2" w:rsidRDefault="00E66FB6" w:rsidP="006E3ABF">
            <w:pPr>
              <w:spacing w:after="60"/>
              <w:rPr>
                <w:sz w:val="20"/>
                <w:szCs w:val="20"/>
              </w:rPr>
            </w:pPr>
            <w:r>
              <w:rPr>
                <w:sz w:val="20"/>
                <w:szCs w:val="20"/>
              </w:rPr>
              <w:t xml:space="preserve">Evidence of external coordination – </w:t>
            </w:r>
            <w:r w:rsidR="007545F8" w:rsidRPr="007545F8">
              <w:rPr>
                <w:i/>
                <w:sz w:val="20"/>
                <w:szCs w:val="20"/>
              </w:rPr>
              <w:t>i.e.,</w:t>
            </w:r>
            <w:r w:rsidR="007545F8">
              <w:rPr>
                <w:sz w:val="20"/>
                <w:szCs w:val="20"/>
              </w:rPr>
              <w:t xml:space="preserve"> </w:t>
            </w:r>
            <w:r>
              <w:rPr>
                <w:sz w:val="20"/>
                <w:szCs w:val="20"/>
              </w:rPr>
              <w:t>examples of c</w:t>
            </w:r>
            <w:r w:rsidR="006313D4">
              <w:rPr>
                <w:sz w:val="20"/>
                <w:szCs w:val="20"/>
              </w:rPr>
              <w:t>ollaboration</w:t>
            </w:r>
            <w:r>
              <w:rPr>
                <w:sz w:val="20"/>
                <w:szCs w:val="20"/>
              </w:rPr>
              <w:t xml:space="preserve"> with other entities serving the same population</w:t>
            </w:r>
            <w:r w:rsidR="007545F8">
              <w:rPr>
                <w:sz w:val="20"/>
                <w:szCs w:val="20"/>
              </w:rPr>
              <w:t xml:space="preserve"> (up to 6 points)</w:t>
            </w:r>
          </w:p>
        </w:tc>
        <w:tc>
          <w:tcPr>
            <w:tcW w:w="5434" w:type="dxa"/>
            <w:shd w:val="clear" w:color="auto" w:fill="C6D9F1" w:themeFill="text2" w:themeFillTint="33"/>
          </w:tcPr>
          <w:p w:rsidR="007A0306" w:rsidRDefault="007545F8" w:rsidP="007545F8">
            <w:pPr>
              <w:spacing w:before="60"/>
              <w:rPr>
                <w:sz w:val="20"/>
                <w:szCs w:val="20"/>
              </w:rPr>
            </w:pPr>
            <w:r>
              <w:rPr>
                <w:sz w:val="20"/>
                <w:szCs w:val="20"/>
              </w:rPr>
              <w:t>Provides 2 examples o</w:t>
            </w:r>
            <w:r w:rsidR="006E3ABF">
              <w:rPr>
                <w:sz w:val="20"/>
                <w:szCs w:val="20"/>
              </w:rPr>
              <w:t>f</w:t>
            </w:r>
            <w:r>
              <w:rPr>
                <w:sz w:val="20"/>
                <w:szCs w:val="20"/>
              </w:rPr>
              <w:t xml:space="preserve"> inter-agency collaboration  - 6 points</w:t>
            </w:r>
          </w:p>
          <w:p w:rsidR="007545F8" w:rsidRPr="00F441D2" w:rsidRDefault="007545F8" w:rsidP="007545F8">
            <w:pPr>
              <w:spacing w:after="60"/>
              <w:rPr>
                <w:sz w:val="20"/>
                <w:szCs w:val="20"/>
              </w:rPr>
            </w:pPr>
            <w:r>
              <w:rPr>
                <w:sz w:val="20"/>
                <w:szCs w:val="20"/>
              </w:rPr>
              <w:t>Provides 1 example of interagency collaboration – 3 points</w:t>
            </w:r>
          </w:p>
        </w:tc>
      </w:tr>
      <w:tr w:rsidR="001241CC" w:rsidRPr="00F441D2" w:rsidTr="00072FBC">
        <w:tc>
          <w:tcPr>
            <w:tcW w:w="2126" w:type="dxa"/>
            <w:vMerge w:val="restart"/>
            <w:shd w:val="clear" w:color="auto" w:fill="F2F2F2" w:themeFill="background1" w:themeFillShade="F2"/>
            <w:vAlign w:val="center"/>
          </w:tcPr>
          <w:p w:rsidR="001241CC" w:rsidRPr="004E7DB4" w:rsidRDefault="001241CC" w:rsidP="007545F8">
            <w:pPr>
              <w:spacing w:after="60"/>
              <w:rPr>
                <w:b/>
                <w:sz w:val="24"/>
                <w:szCs w:val="24"/>
              </w:rPr>
            </w:pPr>
            <w:r w:rsidRPr="004E7DB4">
              <w:rPr>
                <w:b/>
                <w:sz w:val="24"/>
                <w:szCs w:val="24"/>
              </w:rPr>
              <w:t>FINANCIAL</w:t>
            </w:r>
          </w:p>
          <w:p w:rsidR="001241CC" w:rsidRPr="004E7DB4" w:rsidRDefault="001241CC" w:rsidP="007545F8">
            <w:pPr>
              <w:spacing w:after="60"/>
              <w:rPr>
                <w:sz w:val="20"/>
                <w:szCs w:val="20"/>
              </w:rPr>
            </w:pPr>
            <w:r>
              <w:rPr>
                <w:sz w:val="20"/>
                <w:szCs w:val="20"/>
              </w:rPr>
              <w:t xml:space="preserve">20 </w:t>
            </w:r>
            <w:r w:rsidRPr="004E7DB4">
              <w:rPr>
                <w:sz w:val="20"/>
                <w:szCs w:val="20"/>
              </w:rPr>
              <w:t>points</w:t>
            </w:r>
          </w:p>
          <w:p w:rsidR="001241CC" w:rsidRDefault="001241CC" w:rsidP="007545F8">
            <w:pPr>
              <w:spacing w:before="60"/>
              <w:rPr>
                <w:i/>
                <w:sz w:val="20"/>
                <w:szCs w:val="20"/>
              </w:rPr>
            </w:pPr>
            <w:r w:rsidRPr="004E7DB4">
              <w:rPr>
                <w:i/>
                <w:sz w:val="20"/>
                <w:szCs w:val="20"/>
              </w:rPr>
              <w:t>Source:</w:t>
            </w:r>
          </w:p>
          <w:p w:rsidR="001241CC" w:rsidRPr="004E7DB4" w:rsidRDefault="001241CC" w:rsidP="007545F8">
            <w:pPr>
              <w:spacing w:after="60"/>
              <w:rPr>
                <w:b/>
                <w:sz w:val="24"/>
                <w:szCs w:val="24"/>
              </w:rPr>
            </w:pPr>
            <w:r w:rsidRPr="006137D7">
              <w:rPr>
                <w:sz w:val="20"/>
                <w:szCs w:val="20"/>
              </w:rPr>
              <w:t>Budget submittal, leverage letters,</w:t>
            </w:r>
            <w:r>
              <w:rPr>
                <w:b/>
                <w:sz w:val="20"/>
                <w:szCs w:val="20"/>
              </w:rPr>
              <w:t xml:space="preserve"> </w:t>
            </w:r>
            <w:r w:rsidRPr="00134575">
              <w:rPr>
                <w:sz w:val="20"/>
                <w:szCs w:val="20"/>
              </w:rPr>
              <w:t>program audit</w:t>
            </w:r>
          </w:p>
        </w:tc>
        <w:tc>
          <w:tcPr>
            <w:tcW w:w="3150" w:type="dxa"/>
            <w:shd w:val="clear" w:color="auto" w:fill="F2F2F2" w:themeFill="background1" w:themeFillShade="F2"/>
          </w:tcPr>
          <w:p w:rsidR="001241CC" w:rsidRDefault="00C95232" w:rsidP="007545F8">
            <w:pPr>
              <w:spacing w:before="60" w:after="60"/>
              <w:rPr>
                <w:sz w:val="20"/>
                <w:szCs w:val="20"/>
              </w:rPr>
            </w:pPr>
            <w:r>
              <w:rPr>
                <w:sz w:val="20"/>
                <w:szCs w:val="20"/>
              </w:rPr>
              <w:t>Budget submission (up to 10</w:t>
            </w:r>
            <w:r w:rsidR="001241CC">
              <w:rPr>
                <w:sz w:val="20"/>
                <w:szCs w:val="20"/>
              </w:rPr>
              <w:t xml:space="preserve"> points)</w:t>
            </w:r>
          </w:p>
        </w:tc>
        <w:tc>
          <w:tcPr>
            <w:tcW w:w="5434" w:type="dxa"/>
            <w:shd w:val="clear" w:color="auto" w:fill="F2F2F2" w:themeFill="background1" w:themeFillShade="F2"/>
          </w:tcPr>
          <w:p w:rsidR="001241CC" w:rsidRPr="00F441D2" w:rsidRDefault="001241CC" w:rsidP="00C95232">
            <w:pPr>
              <w:spacing w:before="60" w:after="60"/>
              <w:rPr>
                <w:sz w:val="20"/>
                <w:szCs w:val="20"/>
              </w:rPr>
            </w:pPr>
            <w:r>
              <w:rPr>
                <w:sz w:val="20"/>
                <w:szCs w:val="20"/>
              </w:rPr>
              <w:t>Budget is accurate</w:t>
            </w:r>
            <w:r w:rsidR="007545F8">
              <w:rPr>
                <w:sz w:val="20"/>
                <w:szCs w:val="20"/>
              </w:rPr>
              <w:t xml:space="preserve">&amp; complies </w:t>
            </w:r>
            <w:r>
              <w:rPr>
                <w:sz w:val="20"/>
                <w:szCs w:val="20"/>
              </w:rPr>
              <w:t>with CoC Interim Rule –</w:t>
            </w:r>
            <w:r w:rsidR="00C95232">
              <w:rPr>
                <w:sz w:val="20"/>
                <w:szCs w:val="20"/>
              </w:rPr>
              <w:t xml:space="preserve">10 </w:t>
            </w:r>
            <w:r>
              <w:rPr>
                <w:sz w:val="20"/>
                <w:szCs w:val="20"/>
              </w:rPr>
              <w:t>points</w:t>
            </w:r>
          </w:p>
        </w:tc>
      </w:tr>
      <w:tr w:rsidR="001241CC" w:rsidRPr="00F441D2" w:rsidTr="00072FBC">
        <w:tc>
          <w:tcPr>
            <w:tcW w:w="2126" w:type="dxa"/>
            <w:vMerge/>
            <w:shd w:val="clear" w:color="auto" w:fill="F2F2F2" w:themeFill="background1" w:themeFillShade="F2"/>
          </w:tcPr>
          <w:p w:rsidR="001241CC" w:rsidRPr="00F441D2" w:rsidRDefault="001241CC" w:rsidP="007545F8">
            <w:pPr>
              <w:spacing w:before="60" w:after="60"/>
              <w:rPr>
                <w:sz w:val="20"/>
                <w:szCs w:val="20"/>
              </w:rPr>
            </w:pPr>
          </w:p>
        </w:tc>
        <w:tc>
          <w:tcPr>
            <w:tcW w:w="3150" w:type="dxa"/>
            <w:shd w:val="clear" w:color="auto" w:fill="F2F2F2" w:themeFill="background1" w:themeFillShade="F2"/>
          </w:tcPr>
          <w:p w:rsidR="001241CC" w:rsidRPr="00F441D2" w:rsidRDefault="001241CC" w:rsidP="001241CC">
            <w:pPr>
              <w:spacing w:before="60" w:after="60"/>
              <w:rPr>
                <w:sz w:val="20"/>
                <w:szCs w:val="20"/>
              </w:rPr>
            </w:pPr>
            <w:r>
              <w:rPr>
                <w:sz w:val="20"/>
                <w:szCs w:val="20"/>
              </w:rPr>
              <w:t>Leverage (up to 5 points)</w:t>
            </w:r>
          </w:p>
        </w:tc>
        <w:tc>
          <w:tcPr>
            <w:tcW w:w="5434" w:type="dxa"/>
            <w:shd w:val="clear" w:color="auto" w:fill="F2F2F2" w:themeFill="background1" w:themeFillShade="F2"/>
          </w:tcPr>
          <w:p w:rsidR="001241CC" w:rsidRDefault="001241CC" w:rsidP="007545F8">
            <w:pPr>
              <w:spacing w:before="60"/>
              <w:rPr>
                <w:sz w:val="20"/>
                <w:szCs w:val="20"/>
              </w:rPr>
            </w:pPr>
            <w:r>
              <w:rPr>
                <w:sz w:val="20"/>
                <w:szCs w:val="20"/>
              </w:rPr>
              <w:t>Documented leverage of 175% or more – 5 points</w:t>
            </w:r>
          </w:p>
          <w:p w:rsidR="001241CC" w:rsidRDefault="001241CC" w:rsidP="007545F8">
            <w:pPr>
              <w:rPr>
                <w:sz w:val="20"/>
                <w:szCs w:val="20"/>
              </w:rPr>
            </w:pPr>
            <w:r>
              <w:rPr>
                <w:sz w:val="20"/>
                <w:szCs w:val="20"/>
              </w:rPr>
              <w:t>Documented leverage of 150-174% - 4 points</w:t>
            </w:r>
          </w:p>
          <w:p w:rsidR="001241CC" w:rsidRPr="00F441D2" w:rsidRDefault="001241CC" w:rsidP="007545F8">
            <w:pPr>
              <w:spacing w:after="60"/>
              <w:rPr>
                <w:sz w:val="20"/>
                <w:szCs w:val="20"/>
              </w:rPr>
            </w:pPr>
            <w:r>
              <w:rPr>
                <w:sz w:val="20"/>
                <w:szCs w:val="20"/>
              </w:rPr>
              <w:t>Documented leverage of 100-149% - 2 points</w:t>
            </w:r>
          </w:p>
        </w:tc>
      </w:tr>
      <w:tr w:rsidR="001241CC" w:rsidRPr="00F441D2" w:rsidTr="00072FBC">
        <w:tc>
          <w:tcPr>
            <w:tcW w:w="2126" w:type="dxa"/>
            <w:vMerge/>
            <w:shd w:val="clear" w:color="auto" w:fill="F2F2F2" w:themeFill="background1" w:themeFillShade="F2"/>
          </w:tcPr>
          <w:p w:rsidR="001241CC" w:rsidRPr="00F441D2" w:rsidRDefault="001241CC" w:rsidP="007545F8">
            <w:pPr>
              <w:spacing w:before="60" w:after="60"/>
              <w:rPr>
                <w:sz w:val="20"/>
                <w:szCs w:val="20"/>
              </w:rPr>
            </w:pPr>
          </w:p>
        </w:tc>
        <w:tc>
          <w:tcPr>
            <w:tcW w:w="3150" w:type="dxa"/>
            <w:shd w:val="clear" w:color="auto" w:fill="F2F2F2" w:themeFill="background1" w:themeFillShade="F2"/>
          </w:tcPr>
          <w:p w:rsidR="001241CC" w:rsidRPr="00F441D2" w:rsidRDefault="001241CC" w:rsidP="007545F8">
            <w:pPr>
              <w:spacing w:before="60" w:after="60"/>
              <w:rPr>
                <w:sz w:val="20"/>
                <w:szCs w:val="20"/>
              </w:rPr>
            </w:pPr>
            <w:r>
              <w:rPr>
                <w:sz w:val="20"/>
                <w:szCs w:val="20"/>
              </w:rPr>
              <w:t>Audit (up to 5 points)</w:t>
            </w:r>
          </w:p>
        </w:tc>
        <w:tc>
          <w:tcPr>
            <w:tcW w:w="5434" w:type="dxa"/>
            <w:shd w:val="clear" w:color="auto" w:fill="F2F2F2" w:themeFill="background1" w:themeFillShade="F2"/>
          </w:tcPr>
          <w:p w:rsidR="001241CC" w:rsidRPr="00F441D2" w:rsidRDefault="001241CC" w:rsidP="007545F8">
            <w:pPr>
              <w:spacing w:before="60" w:after="60"/>
              <w:rPr>
                <w:sz w:val="20"/>
                <w:szCs w:val="20"/>
              </w:rPr>
            </w:pPr>
            <w:r>
              <w:rPr>
                <w:sz w:val="20"/>
                <w:szCs w:val="20"/>
              </w:rPr>
              <w:t>No findings – 5 points; Findings – 0 points</w:t>
            </w:r>
          </w:p>
        </w:tc>
      </w:tr>
      <w:tr w:rsidR="00546188" w:rsidRPr="00F441D2" w:rsidTr="00072FBC">
        <w:trPr>
          <w:trHeight w:val="368"/>
        </w:trPr>
        <w:tc>
          <w:tcPr>
            <w:tcW w:w="2126" w:type="dxa"/>
            <w:vMerge w:val="restart"/>
            <w:shd w:val="clear" w:color="auto" w:fill="C6D9F1" w:themeFill="text2" w:themeFillTint="33"/>
          </w:tcPr>
          <w:p w:rsidR="00546188" w:rsidRPr="004E7DB4" w:rsidRDefault="00546188" w:rsidP="007545F8">
            <w:pPr>
              <w:spacing w:before="60"/>
              <w:rPr>
                <w:b/>
                <w:sz w:val="24"/>
                <w:szCs w:val="24"/>
              </w:rPr>
            </w:pPr>
            <w:r w:rsidRPr="004E7DB4">
              <w:rPr>
                <w:b/>
                <w:sz w:val="24"/>
                <w:szCs w:val="24"/>
              </w:rPr>
              <w:t>PROGRAM MANAGEMENT</w:t>
            </w:r>
          </w:p>
          <w:p w:rsidR="00546188" w:rsidRPr="004E7DB4" w:rsidRDefault="00546188" w:rsidP="007545F8">
            <w:pPr>
              <w:spacing w:after="60"/>
              <w:rPr>
                <w:sz w:val="20"/>
                <w:szCs w:val="20"/>
              </w:rPr>
            </w:pPr>
            <w:r w:rsidRPr="004E7DB4">
              <w:rPr>
                <w:sz w:val="20"/>
                <w:szCs w:val="20"/>
              </w:rPr>
              <w:t>20 points</w:t>
            </w:r>
          </w:p>
          <w:p w:rsidR="00546188" w:rsidRDefault="00546188" w:rsidP="007545F8">
            <w:pPr>
              <w:spacing w:before="60"/>
              <w:rPr>
                <w:i/>
                <w:sz w:val="20"/>
                <w:szCs w:val="20"/>
              </w:rPr>
            </w:pPr>
            <w:r w:rsidRPr="004E7DB4">
              <w:rPr>
                <w:i/>
                <w:sz w:val="20"/>
                <w:szCs w:val="20"/>
              </w:rPr>
              <w:t>Source:</w:t>
            </w:r>
          </w:p>
          <w:p w:rsidR="00546188" w:rsidRPr="004E7DB4" w:rsidRDefault="007545F8" w:rsidP="007545F8">
            <w:pPr>
              <w:spacing w:after="60"/>
              <w:rPr>
                <w:sz w:val="20"/>
                <w:szCs w:val="20"/>
              </w:rPr>
            </w:pPr>
            <w:r>
              <w:rPr>
                <w:sz w:val="20"/>
                <w:szCs w:val="20"/>
              </w:rPr>
              <w:t xml:space="preserve">Application, </w:t>
            </w:r>
            <w:r w:rsidR="00546188">
              <w:rPr>
                <w:sz w:val="20"/>
                <w:szCs w:val="20"/>
              </w:rPr>
              <w:t>agency policies and procedures</w:t>
            </w:r>
          </w:p>
        </w:tc>
        <w:tc>
          <w:tcPr>
            <w:tcW w:w="3150" w:type="dxa"/>
            <w:shd w:val="clear" w:color="auto" w:fill="C6D9F1" w:themeFill="text2" w:themeFillTint="33"/>
          </w:tcPr>
          <w:p w:rsidR="00546188" w:rsidRPr="00F441D2" w:rsidRDefault="00546188" w:rsidP="00AE05DB">
            <w:pPr>
              <w:spacing w:before="60" w:after="60"/>
              <w:rPr>
                <w:sz w:val="20"/>
                <w:szCs w:val="20"/>
              </w:rPr>
            </w:pPr>
            <w:r>
              <w:rPr>
                <w:sz w:val="20"/>
                <w:szCs w:val="20"/>
              </w:rPr>
              <w:t>HMIS experience (up to 7 points)</w:t>
            </w:r>
          </w:p>
        </w:tc>
        <w:tc>
          <w:tcPr>
            <w:tcW w:w="5434" w:type="dxa"/>
            <w:shd w:val="clear" w:color="auto" w:fill="C6D9F1" w:themeFill="text2" w:themeFillTint="33"/>
          </w:tcPr>
          <w:p w:rsidR="00546188" w:rsidRPr="00F441D2" w:rsidRDefault="00546188" w:rsidP="00AE05DB">
            <w:pPr>
              <w:spacing w:before="60" w:after="60"/>
              <w:rPr>
                <w:sz w:val="20"/>
                <w:szCs w:val="20"/>
              </w:rPr>
            </w:pPr>
            <w:r>
              <w:rPr>
                <w:sz w:val="20"/>
                <w:szCs w:val="20"/>
              </w:rPr>
              <w:t>Agency provides HMIS data on existing program(s) to City of Springfield HMIS or MA ASIST – 7 points</w:t>
            </w:r>
          </w:p>
        </w:tc>
      </w:tr>
      <w:tr w:rsidR="00546188" w:rsidRPr="00F441D2" w:rsidTr="00072FBC">
        <w:tc>
          <w:tcPr>
            <w:tcW w:w="2126" w:type="dxa"/>
            <w:vMerge/>
            <w:shd w:val="clear" w:color="auto" w:fill="C6D9F1" w:themeFill="text2" w:themeFillTint="33"/>
          </w:tcPr>
          <w:p w:rsidR="00546188" w:rsidRPr="00F441D2" w:rsidRDefault="00546188" w:rsidP="007545F8">
            <w:pPr>
              <w:spacing w:before="60" w:after="60"/>
              <w:rPr>
                <w:sz w:val="20"/>
                <w:szCs w:val="20"/>
              </w:rPr>
            </w:pPr>
          </w:p>
        </w:tc>
        <w:tc>
          <w:tcPr>
            <w:tcW w:w="3150" w:type="dxa"/>
            <w:shd w:val="clear" w:color="auto" w:fill="C6D9F1" w:themeFill="text2" w:themeFillTint="33"/>
          </w:tcPr>
          <w:p w:rsidR="00546188" w:rsidRPr="00F441D2" w:rsidRDefault="007545F8" w:rsidP="007545F8">
            <w:pPr>
              <w:spacing w:before="60" w:after="60"/>
              <w:rPr>
                <w:sz w:val="20"/>
                <w:szCs w:val="20"/>
              </w:rPr>
            </w:pPr>
            <w:r>
              <w:rPr>
                <w:sz w:val="20"/>
                <w:szCs w:val="20"/>
              </w:rPr>
              <w:t>Schedule &amp; management plan</w:t>
            </w:r>
            <w:r w:rsidR="00D27C88">
              <w:rPr>
                <w:sz w:val="20"/>
                <w:szCs w:val="20"/>
              </w:rPr>
              <w:t xml:space="preserve"> (7 points)</w:t>
            </w:r>
          </w:p>
        </w:tc>
        <w:tc>
          <w:tcPr>
            <w:tcW w:w="5434" w:type="dxa"/>
            <w:shd w:val="clear" w:color="auto" w:fill="C6D9F1" w:themeFill="text2" w:themeFillTint="33"/>
          </w:tcPr>
          <w:p w:rsidR="00546188" w:rsidRPr="00F441D2" w:rsidRDefault="00D27C88" w:rsidP="007545F8">
            <w:pPr>
              <w:rPr>
                <w:sz w:val="20"/>
                <w:szCs w:val="20"/>
              </w:rPr>
            </w:pPr>
            <w:r>
              <w:rPr>
                <w:sz w:val="20"/>
                <w:szCs w:val="20"/>
              </w:rPr>
              <w:t>Full points where there is a plan for timely start up and strong management</w:t>
            </w:r>
          </w:p>
        </w:tc>
      </w:tr>
      <w:tr w:rsidR="00546188" w:rsidRPr="00F441D2" w:rsidTr="00072FBC">
        <w:tc>
          <w:tcPr>
            <w:tcW w:w="2126" w:type="dxa"/>
            <w:vMerge/>
            <w:shd w:val="clear" w:color="auto" w:fill="C6D9F1" w:themeFill="text2" w:themeFillTint="33"/>
          </w:tcPr>
          <w:p w:rsidR="00546188" w:rsidRPr="00F441D2" w:rsidRDefault="00546188" w:rsidP="007545F8">
            <w:pPr>
              <w:spacing w:before="60" w:after="60"/>
              <w:rPr>
                <w:sz w:val="20"/>
                <w:szCs w:val="20"/>
              </w:rPr>
            </w:pPr>
          </w:p>
        </w:tc>
        <w:tc>
          <w:tcPr>
            <w:tcW w:w="3150" w:type="dxa"/>
            <w:shd w:val="clear" w:color="auto" w:fill="C6D9F1" w:themeFill="text2" w:themeFillTint="33"/>
          </w:tcPr>
          <w:p w:rsidR="00546188" w:rsidRPr="00F441D2" w:rsidRDefault="00546188" w:rsidP="00D27C88">
            <w:pPr>
              <w:spacing w:before="60" w:after="60"/>
              <w:rPr>
                <w:sz w:val="20"/>
                <w:szCs w:val="20"/>
              </w:rPr>
            </w:pPr>
            <w:r>
              <w:rPr>
                <w:sz w:val="20"/>
                <w:szCs w:val="20"/>
              </w:rPr>
              <w:t>Complete and compliant policies &amp; procedures (up to 6 points)</w:t>
            </w:r>
          </w:p>
        </w:tc>
        <w:tc>
          <w:tcPr>
            <w:tcW w:w="5434" w:type="dxa"/>
            <w:shd w:val="clear" w:color="auto" w:fill="C6D9F1" w:themeFill="text2" w:themeFillTint="33"/>
          </w:tcPr>
          <w:p w:rsidR="00546188" w:rsidRPr="00F441D2" w:rsidRDefault="00D27C88" w:rsidP="007545F8">
            <w:pPr>
              <w:spacing w:before="60" w:after="60"/>
              <w:rPr>
                <w:sz w:val="20"/>
                <w:szCs w:val="20"/>
              </w:rPr>
            </w:pPr>
            <w:r>
              <w:rPr>
                <w:sz w:val="20"/>
                <w:szCs w:val="20"/>
              </w:rPr>
              <w:t>Full points where all required policies and procedures are submitted and comply with HUD requirements.</w:t>
            </w:r>
          </w:p>
        </w:tc>
      </w:tr>
    </w:tbl>
    <w:p w:rsidR="00595C47" w:rsidRPr="00F441D2" w:rsidRDefault="00595C47" w:rsidP="00595C47">
      <w:pPr>
        <w:rPr>
          <w:sz w:val="20"/>
          <w:szCs w:val="20"/>
        </w:rPr>
      </w:pPr>
    </w:p>
    <w:p w:rsidR="00D97140" w:rsidRDefault="00D97140" w:rsidP="00983F87">
      <w:pPr>
        <w:rPr>
          <w:sz w:val="20"/>
          <w:szCs w:val="20"/>
        </w:rPr>
        <w:sectPr w:rsidR="00D97140" w:rsidSect="002F781A">
          <w:headerReference w:type="default" r:id="rId17"/>
          <w:footerReference w:type="default" r:id="rId18"/>
          <w:type w:val="continuous"/>
          <w:pgSz w:w="12240" w:h="15840"/>
          <w:pgMar w:top="720" w:right="720" w:bottom="720" w:left="720" w:header="720" w:footer="720" w:gutter="0"/>
          <w:cols w:space="720"/>
          <w:titlePg/>
          <w:docGrid w:linePitch="360"/>
        </w:sectPr>
      </w:pPr>
    </w:p>
    <w:p w:rsidR="00983F87" w:rsidRDefault="00983F87" w:rsidP="00983F87">
      <w:pPr>
        <w:pStyle w:val="Heading3"/>
        <w:spacing w:after="120"/>
        <w:rPr>
          <w:rFonts w:asciiTheme="minorHAnsi" w:eastAsiaTheme="minorHAnsi" w:hAnsiTheme="minorHAnsi" w:cstheme="minorBidi"/>
          <w:bCs w:val="0"/>
          <w:color w:val="FFFFFF" w:themeColor="background1"/>
          <w:sz w:val="24"/>
          <w:szCs w:val="24"/>
        </w:rPr>
      </w:pPr>
      <w:r w:rsidRPr="00DF0CA9">
        <w:rPr>
          <w:color w:val="1F497D" w:themeColor="text2"/>
        </w:rPr>
        <w:lastRenderedPageBreak/>
        <w:t>DEFINITIONS</w:t>
      </w:r>
    </w:p>
    <w:p w:rsidR="00983F87" w:rsidRPr="006E3ABF" w:rsidRDefault="00983F87" w:rsidP="00983F87">
      <w:pPr>
        <w:jc w:val="both"/>
        <w:rPr>
          <w:b/>
        </w:rPr>
      </w:pPr>
      <w:r w:rsidRPr="0003111F">
        <w:rPr>
          <w:b/>
        </w:rPr>
        <w:t>Chronically Homeless</w:t>
      </w:r>
      <w:r>
        <w:rPr>
          <w:b/>
        </w:rPr>
        <w:t xml:space="preserve">  </w:t>
      </w:r>
      <w:r w:rsidRPr="002D513D">
        <w:t>(1</w:t>
      </w:r>
      <w:r w:rsidRPr="00E77B7E">
        <w:t>) An individual who: (i) Is homeless and lives in a place not meant for human habitation, a safe haven, or in an emergency shelter; and (ii) Has been homeless and living or</w:t>
      </w:r>
      <w:r>
        <w:t xml:space="preserve"> </w:t>
      </w:r>
      <w:r w:rsidRPr="00E77B7E">
        <w:t xml:space="preserve">residing in a place not meant for human habitation, a safe haven, or in </w:t>
      </w:r>
      <w:r>
        <w:t>i</w:t>
      </w:r>
      <w:r w:rsidRPr="00E77B7E">
        <w:t>n emergency shelter continuously for</w:t>
      </w:r>
      <w:r>
        <w:t xml:space="preserve"> </w:t>
      </w:r>
      <w:r w:rsidRPr="00E77B7E">
        <w:t>at least one year or on at least four separate occasions in the last 3 years; and (iii) Can be diagnosed wi</w:t>
      </w:r>
      <w:r>
        <w:t xml:space="preserve">th one or more of the following conditions: substance abuse disorder, serious mental illness, developmental disability, post-traumatic stress disorder, cognitive impairments resulting from brain injury, or chronic physical illness or disability; </w:t>
      </w:r>
      <w:r w:rsidRPr="005179EC">
        <w:rPr>
          <w:u w:val="single"/>
        </w:rPr>
        <w:t>or</w:t>
      </w:r>
      <w:r>
        <w:t xml:space="preserve"> (2) an individual who has been residing in an institutional care facility, including a jail, mental health or substance abuse facility, hospital or other similar facility for fewer than 90 days and has met all the criteria in paragraph (1) of this definition before entering that facility; </w:t>
      </w:r>
      <w:r w:rsidRPr="005179EC">
        <w:rPr>
          <w:u w:val="single"/>
        </w:rPr>
        <w:t>or</w:t>
      </w:r>
      <w:r>
        <w:t xml:space="preserve"> (3) A family with an adult head of household (or if there is no adult in the family, a minor head of household) who meets all of the criteria in paragraph (1) of this definition, including a family whose composition has fluctuated while the head of household has been homeless.</w:t>
      </w:r>
    </w:p>
    <w:p w:rsidR="00983F87" w:rsidRPr="002D513D" w:rsidRDefault="00983F87" w:rsidP="00983F87">
      <w:pPr>
        <w:jc w:val="both"/>
      </w:pPr>
      <w:r w:rsidRPr="0003111F">
        <w:rPr>
          <w:b/>
        </w:rPr>
        <w:t>CoC Deed-Restricted</w:t>
      </w:r>
      <w:r w:rsidR="005179EC">
        <w:rPr>
          <w:b/>
        </w:rPr>
        <w:t xml:space="preserve"> </w:t>
      </w:r>
      <w:r w:rsidR="005179EC" w:rsidRPr="005179EC">
        <w:t xml:space="preserve">means a </w:t>
      </w:r>
      <w:r w:rsidRPr="005179EC">
        <w:t>site</w:t>
      </w:r>
      <w:r w:rsidRPr="002D513D">
        <w:t>-based program in a building purchased, constructed or rehabilitated with Continuum of Care funds, where the building is subject to a deed restr</w:t>
      </w:r>
      <w:r>
        <w:t>i</w:t>
      </w:r>
      <w:r w:rsidRPr="002D513D">
        <w:t>c</w:t>
      </w:r>
      <w:r>
        <w:t>t</w:t>
      </w:r>
      <w:r w:rsidRPr="002D513D">
        <w:t>ion</w:t>
      </w:r>
      <w:r>
        <w:t xml:space="preserve"> </w:t>
      </w:r>
      <w:r w:rsidR="006E3ABF">
        <w:t xml:space="preserve">related to its CoC funding </w:t>
      </w:r>
      <w:r>
        <w:t>requiring that it be used for transitional housing or permanent supportive housing for a period of 10 years after the date of initial occupancy, and the building is within the 10-year restricted period.</w:t>
      </w:r>
    </w:p>
    <w:p w:rsidR="00983F87" w:rsidRPr="0003111F" w:rsidRDefault="00983F87" w:rsidP="00983F87">
      <w:pPr>
        <w:tabs>
          <w:tab w:val="left" w:pos="1680"/>
        </w:tabs>
        <w:jc w:val="both"/>
        <w:rPr>
          <w:b/>
        </w:rPr>
      </w:pPr>
      <w:r w:rsidRPr="0003111F">
        <w:rPr>
          <w:b/>
        </w:rPr>
        <w:t>Housing First</w:t>
      </w:r>
      <w:r>
        <w:rPr>
          <w:b/>
        </w:rPr>
        <w:t xml:space="preserve"> </w:t>
      </w:r>
      <w:r w:rsidRPr="00387574">
        <w:t>is a model of housing assistance that is offered without preconditions (such as sobriety or a minimum income threshold) or service participation requirements, and rapid placement and stabilization in permanent housing are primary goals</w:t>
      </w:r>
      <w:r>
        <w:rPr>
          <w:b/>
        </w:rPr>
        <w:t xml:space="preserve">.  </w:t>
      </w:r>
      <w:r w:rsidRPr="00387574">
        <w:rPr>
          <w:rFonts w:cs="Arial"/>
          <w:color w:val="000000"/>
          <w:shd w:val="clear" w:color="auto" w:fill="FFFFFF"/>
        </w:rPr>
        <w:t>The only real expectations of Housing First, which the individual agrees to prior to starting with the program, is to agree to have support workers visit at home, to pay their rent on time and in full (or agree to third party payment of rent), and to avoid disrupting the reasonable enjoyment of other tenants in the same building that would cause their eviction.</w:t>
      </w:r>
    </w:p>
    <w:p w:rsidR="00983F87" w:rsidRPr="0003111F" w:rsidRDefault="00C95232" w:rsidP="00983F87">
      <w:pPr>
        <w:jc w:val="both"/>
        <w:rPr>
          <w:b/>
        </w:rPr>
      </w:pPr>
      <w:r>
        <w:rPr>
          <w:b/>
        </w:rPr>
        <w:t>Mainstream Services</w:t>
      </w:r>
      <w:r w:rsidR="00983F87">
        <w:rPr>
          <w:b/>
        </w:rPr>
        <w:t xml:space="preserve">  </w:t>
      </w:r>
      <w:r w:rsidR="005179EC">
        <w:rPr>
          <w:b/>
        </w:rPr>
        <w:t xml:space="preserve"> </w:t>
      </w:r>
      <w:r w:rsidR="00983F87" w:rsidRPr="00932B78">
        <w:t xml:space="preserve">Publicly-funded programs that provide services, housing and income supports to </w:t>
      </w:r>
      <w:r w:rsidR="006E3ABF">
        <w:t>low-income</w:t>
      </w:r>
      <w:r w:rsidR="00983F87" w:rsidRPr="00932B78">
        <w:t xml:space="preserve"> persons whether they are homeless or not. They include programs providing welfare, health care, mental health care, substance abuse treatment, and veterans’ assistance</w:t>
      </w:r>
      <w:r w:rsidR="00983F87">
        <w:rPr>
          <w:b/>
        </w:rPr>
        <w:t>.</w:t>
      </w:r>
    </w:p>
    <w:p w:rsidR="00983F87" w:rsidRDefault="00983F87" w:rsidP="00983F87">
      <w:pPr>
        <w:jc w:val="both"/>
      </w:pPr>
      <w:r w:rsidRPr="0003111F">
        <w:rPr>
          <w:b/>
        </w:rPr>
        <w:t>Permanent Supportive Housing (PSH)</w:t>
      </w:r>
      <w:r>
        <w:rPr>
          <w:b/>
        </w:rPr>
        <w:t xml:space="preserve"> </w:t>
      </w:r>
      <w:r w:rsidRPr="00207BCE">
        <w:t>means permanent housing in which supportive services are provided to assist homeless persons with a disability to live independently.</w:t>
      </w:r>
      <w:r w:rsidRPr="00207BCE">
        <w:rPr>
          <w:b/>
        </w:rPr>
        <w:t xml:space="preserve"> </w:t>
      </w:r>
      <w:r>
        <w:rPr>
          <w:b/>
        </w:rPr>
        <w:t xml:space="preserve">  </w:t>
      </w:r>
      <w:r w:rsidRPr="00207BCE">
        <w:t>Permanent housing is community-based housing without a designated length of stay. To be permanent housing, the program participant must be the tenant on a lease for a term of at least one year, which is renewable for terms that are a minimum of one month long, and is terminable only for cause.</w:t>
      </w:r>
    </w:p>
    <w:p w:rsidR="00983F87" w:rsidRPr="00906329" w:rsidRDefault="00983F87" w:rsidP="00983F87">
      <w:pPr>
        <w:tabs>
          <w:tab w:val="left" w:pos="2595"/>
        </w:tabs>
        <w:jc w:val="both"/>
      </w:pPr>
      <w:r w:rsidRPr="0003111F">
        <w:rPr>
          <w:b/>
        </w:rPr>
        <w:t>Rapid Rehousing (RRH)</w:t>
      </w:r>
      <w:r>
        <w:rPr>
          <w:b/>
        </w:rPr>
        <w:t xml:space="preserve"> </w:t>
      </w:r>
      <w:r w:rsidRPr="00906329">
        <w:t>means short-term (up to 3 month) or medium-term (3 to 24 months)</w:t>
      </w:r>
      <w:r w:rsidR="00E4567E">
        <w:t xml:space="preserve"> financial assistance to obtain or maintain permanent housing</w:t>
      </w:r>
      <w:r w:rsidR="00D72557">
        <w:t>, along with case management during the period of rental assistance.</w:t>
      </w:r>
      <w:r w:rsidRPr="00906329">
        <w:t xml:space="preserve">  </w:t>
      </w:r>
      <w:r w:rsidRPr="00906329">
        <w:tab/>
      </w:r>
    </w:p>
    <w:p w:rsidR="00983F87" w:rsidRPr="00906329" w:rsidRDefault="00983F87" w:rsidP="00E4567E">
      <w:pPr>
        <w:jc w:val="both"/>
      </w:pPr>
      <w:r w:rsidRPr="0003111F">
        <w:rPr>
          <w:b/>
        </w:rPr>
        <w:t>Scattered Site</w:t>
      </w:r>
      <w:r w:rsidR="00906329">
        <w:rPr>
          <w:b/>
        </w:rPr>
        <w:t xml:space="preserve"> </w:t>
      </w:r>
      <w:r w:rsidR="00906329">
        <w:t xml:space="preserve">means a housing model in which </w:t>
      </w:r>
      <w:r w:rsidR="00E4567E">
        <w:t>the housing units are not located in a single building.</w:t>
      </w:r>
    </w:p>
    <w:p w:rsidR="00983F87" w:rsidRPr="0003111F" w:rsidRDefault="00983F87" w:rsidP="00E4567E">
      <w:pPr>
        <w:jc w:val="both"/>
        <w:rPr>
          <w:b/>
        </w:rPr>
      </w:pPr>
      <w:r w:rsidRPr="0003111F">
        <w:rPr>
          <w:b/>
        </w:rPr>
        <w:lastRenderedPageBreak/>
        <w:t>Transitional Housing (TH)</w:t>
      </w:r>
      <w:r>
        <w:rPr>
          <w:b/>
        </w:rPr>
        <w:t xml:space="preserve"> </w:t>
      </w:r>
      <w:r w:rsidRPr="00570F67">
        <w:t>means housing, where all program participants have signed a lease or occupancy agreement, the purpose of which is to facilitate the movement of homeless individuals and families into permanent housing within 24 months or such longer period as HUD determines necessary. The program participant must have a lease or occupancy agreement for a term of at least one month that ends in 24 months and cannot be extended.</w:t>
      </w:r>
    </w:p>
    <w:p w:rsidR="005C6834" w:rsidRPr="0003111F" w:rsidRDefault="00983F87" w:rsidP="00D72557">
      <w:pPr>
        <w:tabs>
          <w:tab w:val="left" w:pos="3150"/>
        </w:tabs>
        <w:rPr>
          <w:b/>
          <w:color w:val="FFFFFF" w:themeColor="background1"/>
        </w:rPr>
      </w:pPr>
      <w:r w:rsidRPr="0003111F">
        <w:rPr>
          <w:b/>
        </w:rPr>
        <w:t>Underserved geographic area</w:t>
      </w:r>
      <w:r w:rsidR="00D72557">
        <w:rPr>
          <w:b/>
        </w:rPr>
        <w:t xml:space="preserve"> </w:t>
      </w:r>
      <w:r w:rsidR="00D72557">
        <w:t>is an area with limited or no Continuum of Care programs.  The following chart identifies geographic areas within the Hampden County CoC, and CoC resources available in each area.  Following the chart, there are indications of the areas considered “largely underserved” and “moderately underserved”.</w:t>
      </w:r>
      <w:r w:rsidRPr="0003111F">
        <w:rPr>
          <w:b/>
        </w:rPr>
        <w:tab/>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3111F" w:rsidRPr="0003111F" w:rsidTr="0003111F">
        <w:tc>
          <w:tcPr>
            <w:tcW w:w="9576" w:type="dxa"/>
            <w:gridSpan w:val="6"/>
            <w:shd w:val="clear" w:color="auto" w:fill="1F497D" w:themeFill="text2"/>
          </w:tcPr>
          <w:p w:rsidR="00B60CEF" w:rsidRPr="0003111F" w:rsidRDefault="00B60CEF" w:rsidP="0003111F">
            <w:pPr>
              <w:shd w:val="clear" w:color="auto" w:fill="1F497D" w:themeFill="text2"/>
              <w:tabs>
                <w:tab w:val="left" w:pos="3150"/>
              </w:tabs>
              <w:rPr>
                <w:color w:val="FFFFFF" w:themeColor="background1"/>
              </w:rPr>
            </w:pPr>
            <w:r w:rsidRPr="0003111F">
              <w:rPr>
                <w:color w:val="FFFFFF" w:themeColor="background1"/>
              </w:rPr>
              <w:t>Geographic Distribution of Existing PSH, TH, SH and RRH Resources in Hampden County</w:t>
            </w:r>
          </w:p>
          <w:p w:rsidR="00B60CEF" w:rsidRPr="0003111F" w:rsidRDefault="00B60CEF" w:rsidP="0003111F">
            <w:pPr>
              <w:shd w:val="clear" w:color="auto" w:fill="1F497D" w:themeFill="text2"/>
              <w:tabs>
                <w:tab w:val="left" w:pos="3150"/>
              </w:tabs>
              <w:rPr>
                <w:color w:val="FFFFFF" w:themeColor="background1"/>
              </w:rPr>
            </w:pPr>
            <w:r w:rsidRPr="0003111F">
              <w:rPr>
                <w:color w:val="FFFFFF" w:themeColor="background1"/>
              </w:rPr>
              <w:t xml:space="preserve">As </w:t>
            </w:r>
            <w:r w:rsidRPr="0003111F">
              <w:rPr>
                <w:color w:val="FFFFFF" w:themeColor="background1"/>
                <w:shd w:val="clear" w:color="auto" w:fill="1F497D" w:themeFill="text2"/>
              </w:rPr>
              <w:t>reported</w:t>
            </w:r>
            <w:r w:rsidRPr="0003111F">
              <w:rPr>
                <w:color w:val="FFFFFF" w:themeColor="background1"/>
              </w:rPr>
              <w:t xml:space="preserve"> in January 28, 2013 Housing Inventory Report</w:t>
            </w:r>
          </w:p>
        </w:tc>
      </w:tr>
      <w:tr w:rsidR="00276DEF" w:rsidTr="0003111F">
        <w:tc>
          <w:tcPr>
            <w:tcW w:w="1596" w:type="dxa"/>
            <w:shd w:val="clear" w:color="auto" w:fill="B8CCE4" w:themeFill="accent1" w:themeFillTint="66"/>
          </w:tcPr>
          <w:p w:rsidR="00276DEF" w:rsidRDefault="00276DEF" w:rsidP="00E51B63">
            <w:pPr>
              <w:tabs>
                <w:tab w:val="left" w:pos="3150"/>
              </w:tabs>
            </w:pPr>
          </w:p>
        </w:tc>
        <w:tc>
          <w:tcPr>
            <w:tcW w:w="1596" w:type="dxa"/>
            <w:shd w:val="clear" w:color="auto" w:fill="B8CCE4" w:themeFill="accent1" w:themeFillTint="66"/>
          </w:tcPr>
          <w:p w:rsidR="00276DEF" w:rsidRDefault="00276DEF" w:rsidP="00276DEF">
            <w:pPr>
              <w:tabs>
                <w:tab w:val="left" w:pos="3150"/>
              </w:tabs>
              <w:jc w:val="center"/>
            </w:pPr>
            <w:r>
              <w:t>PSH beds/units for Individuals</w:t>
            </w:r>
          </w:p>
        </w:tc>
        <w:tc>
          <w:tcPr>
            <w:tcW w:w="1596" w:type="dxa"/>
            <w:shd w:val="clear" w:color="auto" w:fill="B8CCE4" w:themeFill="accent1" w:themeFillTint="66"/>
          </w:tcPr>
          <w:p w:rsidR="00276DEF" w:rsidRDefault="00276DEF" w:rsidP="00E51B63">
            <w:pPr>
              <w:tabs>
                <w:tab w:val="left" w:pos="3150"/>
              </w:tabs>
              <w:jc w:val="center"/>
            </w:pPr>
            <w:r>
              <w:t>TH/SH beds for Individuals</w:t>
            </w:r>
          </w:p>
        </w:tc>
        <w:tc>
          <w:tcPr>
            <w:tcW w:w="1596" w:type="dxa"/>
            <w:shd w:val="clear" w:color="auto" w:fill="B8CCE4" w:themeFill="accent1" w:themeFillTint="66"/>
          </w:tcPr>
          <w:p w:rsidR="00276DEF" w:rsidRDefault="00276DEF" w:rsidP="00E51B63">
            <w:pPr>
              <w:tabs>
                <w:tab w:val="left" w:pos="3150"/>
              </w:tabs>
            </w:pPr>
            <w:r>
              <w:t xml:space="preserve">PSH </w:t>
            </w:r>
            <w:r w:rsidR="0071711A">
              <w:t xml:space="preserve">beds </w:t>
            </w:r>
            <w:r>
              <w:t>for Families</w:t>
            </w:r>
          </w:p>
        </w:tc>
        <w:tc>
          <w:tcPr>
            <w:tcW w:w="1596" w:type="dxa"/>
            <w:shd w:val="clear" w:color="auto" w:fill="B8CCE4" w:themeFill="accent1" w:themeFillTint="66"/>
          </w:tcPr>
          <w:p w:rsidR="00276DEF" w:rsidRPr="00276DEF" w:rsidRDefault="00276DEF" w:rsidP="00276DEF">
            <w:r>
              <w:t xml:space="preserve">TH </w:t>
            </w:r>
            <w:r w:rsidR="0071711A">
              <w:t xml:space="preserve">beds </w:t>
            </w:r>
            <w:r>
              <w:t>for Families</w:t>
            </w:r>
          </w:p>
        </w:tc>
        <w:tc>
          <w:tcPr>
            <w:tcW w:w="1596" w:type="dxa"/>
            <w:shd w:val="clear" w:color="auto" w:fill="B8CCE4" w:themeFill="accent1" w:themeFillTint="66"/>
          </w:tcPr>
          <w:p w:rsidR="00276DEF" w:rsidRDefault="00276DEF" w:rsidP="00D72557">
            <w:pPr>
              <w:tabs>
                <w:tab w:val="left" w:pos="3150"/>
              </w:tabs>
            </w:pPr>
            <w:r>
              <w:t>Rapid Rehousing</w:t>
            </w:r>
          </w:p>
        </w:tc>
      </w:tr>
      <w:tr w:rsidR="00B60CEF" w:rsidTr="00E51B63">
        <w:tc>
          <w:tcPr>
            <w:tcW w:w="1596" w:type="dxa"/>
          </w:tcPr>
          <w:p w:rsidR="00B60CEF" w:rsidRDefault="00B60CEF" w:rsidP="00E51B63">
            <w:pPr>
              <w:tabs>
                <w:tab w:val="left" w:pos="3150"/>
              </w:tabs>
            </w:pPr>
            <w:r>
              <w:t>Chicopee</w:t>
            </w:r>
          </w:p>
        </w:tc>
        <w:tc>
          <w:tcPr>
            <w:tcW w:w="1596" w:type="dxa"/>
          </w:tcPr>
          <w:p w:rsidR="00B60CEF" w:rsidRDefault="00B60CEF" w:rsidP="0071711A">
            <w:pPr>
              <w:tabs>
                <w:tab w:val="left" w:pos="3150"/>
              </w:tabs>
              <w:jc w:val="center"/>
            </w:pPr>
            <w:r>
              <w:t>15</w:t>
            </w:r>
          </w:p>
        </w:tc>
        <w:tc>
          <w:tcPr>
            <w:tcW w:w="1596" w:type="dxa"/>
          </w:tcPr>
          <w:p w:rsidR="00B60CEF" w:rsidRDefault="00B60CEF" w:rsidP="0071711A">
            <w:pPr>
              <w:tabs>
                <w:tab w:val="left" w:pos="3150"/>
              </w:tabs>
              <w:jc w:val="center"/>
            </w:pPr>
            <w:r>
              <w:t>0</w:t>
            </w:r>
          </w:p>
        </w:tc>
        <w:tc>
          <w:tcPr>
            <w:tcW w:w="1596" w:type="dxa"/>
          </w:tcPr>
          <w:p w:rsidR="00B60CEF" w:rsidRDefault="0071711A" w:rsidP="0071711A">
            <w:pPr>
              <w:tabs>
                <w:tab w:val="left" w:pos="3150"/>
              </w:tabs>
              <w:jc w:val="center"/>
            </w:pPr>
            <w:r>
              <w:t>8</w:t>
            </w:r>
          </w:p>
        </w:tc>
        <w:tc>
          <w:tcPr>
            <w:tcW w:w="1596" w:type="dxa"/>
          </w:tcPr>
          <w:p w:rsidR="00B60CEF" w:rsidRDefault="0071711A" w:rsidP="0071711A">
            <w:pPr>
              <w:tabs>
                <w:tab w:val="left" w:pos="3150"/>
              </w:tabs>
              <w:jc w:val="center"/>
            </w:pPr>
            <w:r>
              <w:t>0</w:t>
            </w:r>
          </w:p>
        </w:tc>
        <w:tc>
          <w:tcPr>
            <w:tcW w:w="1596" w:type="dxa"/>
            <w:vMerge w:val="restart"/>
          </w:tcPr>
          <w:p w:rsidR="00B60CEF" w:rsidRDefault="00B60CEF" w:rsidP="00E51B63">
            <w:pPr>
              <w:tabs>
                <w:tab w:val="left" w:pos="3150"/>
              </w:tabs>
            </w:pPr>
            <w:r>
              <w:t>Single provider serves the region</w:t>
            </w:r>
          </w:p>
        </w:tc>
      </w:tr>
      <w:tr w:rsidR="00B60CEF" w:rsidTr="00E51B63">
        <w:tc>
          <w:tcPr>
            <w:tcW w:w="1596" w:type="dxa"/>
          </w:tcPr>
          <w:p w:rsidR="00B60CEF" w:rsidRDefault="00B60CEF" w:rsidP="00E51B63">
            <w:pPr>
              <w:tabs>
                <w:tab w:val="left" w:pos="3150"/>
              </w:tabs>
            </w:pPr>
            <w:r>
              <w:t>Holyoke</w:t>
            </w:r>
          </w:p>
        </w:tc>
        <w:tc>
          <w:tcPr>
            <w:tcW w:w="1596" w:type="dxa"/>
          </w:tcPr>
          <w:p w:rsidR="00B60CEF" w:rsidRDefault="00B60CEF" w:rsidP="0071711A">
            <w:pPr>
              <w:tabs>
                <w:tab w:val="left" w:pos="3150"/>
              </w:tabs>
              <w:jc w:val="center"/>
            </w:pPr>
            <w:r>
              <w:t>33</w:t>
            </w:r>
          </w:p>
        </w:tc>
        <w:tc>
          <w:tcPr>
            <w:tcW w:w="1596" w:type="dxa"/>
          </w:tcPr>
          <w:p w:rsidR="00B60CEF" w:rsidRDefault="00B60CEF" w:rsidP="0071711A">
            <w:pPr>
              <w:tabs>
                <w:tab w:val="left" w:pos="3150"/>
              </w:tabs>
              <w:jc w:val="center"/>
            </w:pPr>
            <w:r>
              <w:t>21</w:t>
            </w:r>
          </w:p>
        </w:tc>
        <w:tc>
          <w:tcPr>
            <w:tcW w:w="1596" w:type="dxa"/>
          </w:tcPr>
          <w:p w:rsidR="00B60CEF" w:rsidRDefault="0071711A" w:rsidP="0071711A">
            <w:pPr>
              <w:tabs>
                <w:tab w:val="left" w:pos="3150"/>
              </w:tabs>
              <w:jc w:val="center"/>
            </w:pPr>
            <w:r>
              <w:t>4</w:t>
            </w:r>
          </w:p>
        </w:tc>
        <w:tc>
          <w:tcPr>
            <w:tcW w:w="1596" w:type="dxa"/>
          </w:tcPr>
          <w:p w:rsidR="00B60CEF" w:rsidRDefault="0071711A" w:rsidP="0071711A">
            <w:pPr>
              <w:tabs>
                <w:tab w:val="left" w:pos="3150"/>
              </w:tabs>
              <w:jc w:val="center"/>
            </w:pPr>
            <w:r>
              <w:t>21</w:t>
            </w:r>
          </w:p>
        </w:tc>
        <w:tc>
          <w:tcPr>
            <w:tcW w:w="1596" w:type="dxa"/>
            <w:vMerge/>
          </w:tcPr>
          <w:p w:rsidR="00B60CEF" w:rsidRDefault="00B60CEF" w:rsidP="00E51B63">
            <w:pPr>
              <w:tabs>
                <w:tab w:val="left" w:pos="3150"/>
              </w:tabs>
            </w:pPr>
          </w:p>
        </w:tc>
      </w:tr>
      <w:tr w:rsidR="00B60CEF" w:rsidTr="00E51B63">
        <w:tc>
          <w:tcPr>
            <w:tcW w:w="1596" w:type="dxa"/>
          </w:tcPr>
          <w:p w:rsidR="00B60CEF" w:rsidRDefault="00B60CEF" w:rsidP="00E51B63">
            <w:pPr>
              <w:tabs>
                <w:tab w:val="left" w:pos="3150"/>
              </w:tabs>
            </w:pPr>
            <w:r>
              <w:t>Springfield</w:t>
            </w:r>
          </w:p>
        </w:tc>
        <w:tc>
          <w:tcPr>
            <w:tcW w:w="1596" w:type="dxa"/>
          </w:tcPr>
          <w:p w:rsidR="00B60CEF" w:rsidRDefault="00B60CEF" w:rsidP="0071711A">
            <w:pPr>
              <w:tabs>
                <w:tab w:val="left" w:pos="3150"/>
              </w:tabs>
              <w:jc w:val="center"/>
            </w:pPr>
            <w:r>
              <w:t>380</w:t>
            </w:r>
          </w:p>
        </w:tc>
        <w:tc>
          <w:tcPr>
            <w:tcW w:w="1596" w:type="dxa"/>
          </w:tcPr>
          <w:p w:rsidR="00B60CEF" w:rsidRDefault="00B60CEF" w:rsidP="0071711A">
            <w:pPr>
              <w:tabs>
                <w:tab w:val="left" w:pos="3150"/>
              </w:tabs>
              <w:jc w:val="center"/>
            </w:pPr>
            <w:r>
              <w:t>85</w:t>
            </w:r>
          </w:p>
        </w:tc>
        <w:tc>
          <w:tcPr>
            <w:tcW w:w="1596" w:type="dxa"/>
          </w:tcPr>
          <w:p w:rsidR="00B60CEF" w:rsidRDefault="0071711A" w:rsidP="0071711A">
            <w:pPr>
              <w:tabs>
                <w:tab w:val="left" w:pos="3150"/>
              </w:tabs>
              <w:jc w:val="center"/>
            </w:pPr>
            <w:r>
              <w:t>229</w:t>
            </w:r>
          </w:p>
        </w:tc>
        <w:tc>
          <w:tcPr>
            <w:tcW w:w="1596" w:type="dxa"/>
          </w:tcPr>
          <w:p w:rsidR="00B60CEF" w:rsidRDefault="0071711A" w:rsidP="0071711A">
            <w:pPr>
              <w:tabs>
                <w:tab w:val="left" w:pos="3150"/>
              </w:tabs>
              <w:jc w:val="center"/>
            </w:pPr>
            <w:r>
              <w:t>95</w:t>
            </w:r>
          </w:p>
        </w:tc>
        <w:tc>
          <w:tcPr>
            <w:tcW w:w="1596" w:type="dxa"/>
            <w:vMerge/>
          </w:tcPr>
          <w:p w:rsidR="00B60CEF" w:rsidRDefault="00B60CEF" w:rsidP="00E51B63">
            <w:pPr>
              <w:tabs>
                <w:tab w:val="left" w:pos="3150"/>
              </w:tabs>
            </w:pPr>
          </w:p>
        </w:tc>
      </w:tr>
      <w:tr w:rsidR="00B60CEF" w:rsidTr="00E51B63">
        <w:tc>
          <w:tcPr>
            <w:tcW w:w="1596" w:type="dxa"/>
          </w:tcPr>
          <w:p w:rsidR="00B60CEF" w:rsidRDefault="00B60CEF" w:rsidP="00E51B63">
            <w:pPr>
              <w:tabs>
                <w:tab w:val="left" w:pos="3150"/>
              </w:tabs>
            </w:pPr>
            <w:r>
              <w:t>Westfield</w:t>
            </w:r>
          </w:p>
        </w:tc>
        <w:tc>
          <w:tcPr>
            <w:tcW w:w="1596" w:type="dxa"/>
          </w:tcPr>
          <w:p w:rsidR="00B60CEF" w:rsidRDefault="00B60CEF" w:rsidP="0071711A">
            <w:pPr>
              <w:tabs>
                <w:tab w:val="left" w:pos="3150"/>
              </w:tabs>
              <w:jc w:val="center"/>
            </w:pPr>
            <w:r>
              <w:t>43</w:t>
            </w:r>
          </w:p>
        </w:tc>
        <w:tc>
          <w:tcPr>
            <w:tcW w:w="1596" w:type="dxa"/>
          </w:tcPr>
          <w:p w:rsidR="00B60CEF" w:rsidRDefault="00B60CEF" w:rsidP="0071711A">
            <w:pPr>
              <w:tabs>
                <w:tab w:val="left" w:pos="3150"/>
              </w:tabs>
              <w:jc w:val="center"/>
            </w:pPr>
            <w:r>
              <w:t>10</w:t>
            </w:r>
          </w:p>
        </w:tc>
        <w:tc>
          <w:tcPr>
            <w:tcW w:w="1596" w:type="dxa"/>
          </w:tcPr>
          <w:p w:rsidR="00B60CEF" w:rsidRDefault="0071711A" w:rsidP="0071711A">
            <w:pPr>
              <w:tabs>
                <w:tab w:val="left" w:pos="3150"/>
              </w:tabs>
              <w:jc w:val="center"/>
            </w:pPr>
            <w:r>
              <w:t>4</w:t>
            </w:r>
          </w:p>
        </w:tc>
        <w:tc>
          <w:tcPr>
            <w:tcW w:w="1596" w:type="dxa"/>
          </w:tcPr>
          <w:p w:rsidR="00B60CEF" w:rsidRDefault="0071711A" w:rsidP="0071711A">
            <w:pPr>
              <w:tabs>
                <w:tab w:val="left" w:pos="3150"/>
              </w:tabs>
              <w:jc w:val="center"/>
            </w:pPr>
            <w:r>
              <w:t>10</w:t>
            </w:r>
          </w:p>
        </w:tc>
        <w:tc>
          <w:tcPr>
            <w:tcW w:w="1596" w:type="dxa"/>
            <w:vMerge/>
          </w:tcPr>
          <w:p w:rsidR="00B60CEF" w:rsidRDefault="00B60CEF" w:rsidP="00E51B63">
            <w:pPr>
              <w:tabs>
                <w:tab w:val="left" w:pos="3150"/>
              </w:tabs>
            </w:pPr>
          </w:p>
        </w:tc>
      </w:tr>
      <w:tr w:rsidR="00B60CEF" w:rsidTr="0071711A">
        <w:tc>
          <w:tcPr>
            <w:tcW w:w="1596" w:type="dxa"/>
          </w:tcPr>
          <w:p w:rsidR="00B60CEF" w:rsidRDefault="00B60CEF" w:rsidP="00E51B63">
            <w:pPr>
              <w:tabs>
                <w:tab w:val="left" w:pos="3150"/>
              </w:tabs>
            </w:pPr>
            <w:r>
              <w:t xml:space="preserve">Remainder of Hampden </w:t>
            </w:r>
            <w:r w:rsidR="00D72557">
              <w:t>Co.</w:t>
            </w:r>
          </w:p>
        </w:tc>
        <w:tc>
          <w:tcPr>
            <w:tcW w:w="1596" w:type="dxa"/>
          </w:tcPr>
          <w:p w:rsidR="00B60CEF" w:rsidRDefault="00B60CEF" w:rsidP="0071711A">
            <w:pPr>
              <w:tabs>
                <w:tab w:val="left" w:pos="3150"/>
              </w:tabs>
              <w:jc w:val="center"/>
            </w:pPr>
            <w:r>
              <w:t>17</w:t>
            </w:r>
          </w:p>
        </w:tc>
        <w:tc>
          <w:tcPr>
            <w:tcW w:w="1596" w:type="dxa"/>
          </w:tcPr>
          <w:p w:rsidR="00B60CEF" w:rsidRPr="00377B49" w:rsidRDefault="00B60CEF" w:rsidP="0071711A">
            <w:pPr>
              <w:tabs>
                <w:tab w:val="left" w:pos="1230"/>
              </w:tabs>
              <w:jc w:val="center"/>
            </w:pPr>
            <w:r>
              <w:t>9</w:t>
            </w:r>
          </w:p>
        </w:tc>
        <w:tc>
          <w:tcPr>
            <w:tcW w:w="1596" w:type="dxa"/>
          </w:tcPr>
          <w:p w:rsidR="00B60CEF" w:rsidRDefault="0071711A" w:rsidP="0071711A">
            <w:pPr>
              <w:tabs>
                <w:tab w:val="left" w:pos="3150"/>
              </w:tabs>
              <w:jc w:val="center"/>
            </w:pPr>
            <w:r>
              <w:t>5</w:t>
            </w:r>
          </w:p>
        </w:tc>
        <w:tc>
          <w:tcPr>
            <w:tcW w:w="1596" w:type="dxa"/>
          </w:tcPr>
          <w:p w:rsidR="00B60CEF" w:rsidRDefault="0071711A" w:rsidP="0071711A">
            <w:pPr>
              <w:tabs>
                <w:tab w:val="left" w:pos="3150"/>
              </w:tabs>
              <w:jc w:val="center"/>
            </w:pPr>
            <w:r>
              <w:t>0</w:t>
            </w:r>
          </w:p>
        </w:tc>
        <w:tc>
          <w:tcPr>
            <w:tcW w:w="1596" w:type="dxa"/>
            <w:vMerge/>
          </w:tcPr>
          <w:p w:rsidR="00B60CEF" w:rsidRDefault="00B60CEF" w:rsidP="00E51B63">
            <w:pPr>
              <w:tabs>
                <w:tab w:val="left" w:pos="3150"/>
              </w:tabs>
            </w:pPr>
          </w:p>
        </w:tc>
      </w:tr>
    </w:tbl>
    <w:p w:rsidR="005C6834" w:rsidRDefault="005C6834" w:rsidP="00595C47">
      <w:pPr>
        <w:spacing w:after="0"/>
        <w:rPr>
          <w:b/>
          <w:color w:val="1F497D" w:themeColor="text2"/>
        </w:rPr>
      </w:pPr>
    </w:p>
    <w:p w:rsidR="005C6834" w:rsidRPr="00405716" w:rsidRDefault="00405716" w:rsidP="00595C47">
      <w:pPr>
        <w:spacing w:after="0"/>
      </w:pPr>
      <w:r w:rsidRPr="0003111F">
        <w:rPr>
          <w:b/>
        </w:rPr>
        <w:t>Largely underserved</w:t>
      </w:r>
      <w:r w:rsidRPr="00405716">
        <w:t>: Hampden County outside cities of Springfield, Chicopee, Holyoke, Westfield</w:t>
      </w:r>
    </w:p>
    <w:p w:rsidR="005C6834" w:rsidRDefault="00405716" w:rsidP="00595C47">
      <w:pPr>
        <w:spacing w:after="0"/>
        <w:rPr>
          <w:b/>
          <w:color w:val="1F497D" w:themeColor="text2"/>
        </w:rPr>
      </w:pPr>
      <w:r w:rsidRPr="0003111F">
        <w:rPr>
          <w:b/>
        </w:rPr>
        <w:t>Moderately underserved</w:t>
      </w:r>
      <w:r w:rsidRPr="00405716">
        <w:t>: Chicopee, Holyoke, Westfield</w:t>
      </w:r>
    </w:p>
    <w:sectPr w:rsidR="005C6834" w:rsidSect="005770E1">
      <w:footerReference w:type="defaul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CF2" w:rsidRDefault="00B17CF2" w:rsidP="004456C6">
      <w:pPr>
        <w:spacing w:after="0" w:line="240" w:lineRule="auto"/>
      </w:pPr>
      <w:r>
        <w:separator/>
      </w:r>
    </w:p>
  </w:endnote>
  <w:endnote w:type="continuationSeparator" w:id="0">
    <w:p w:rsidR="00B17CF2" w:rsidRDefault="00B17CF2" w:rsidP="0044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360536"/>
      <w:docPartObj>
        <w:docPartGallery w:val="Page Numbers (Bottom of Page)"/>
        <w:docPartUnique/>
      </w:docPartObj>
    </w:sdtPr>
    <w:sdtEndPr>
      <w:rPr>
        <w:noProof/>
      </w:rPr>
    </w:sdtEndPr>
    <w:sdtContent>
      <w:p w:rsidR="00874224" w:rsidRDefault="00874224">
        <w:pPr>
          <w:pStyle w:val="Footer"/>
          <w:jc w:val="center"/>
        </w:pPr>
        <w:r>
          <w:fldChar w:fldCharType="begin"/>
        </w:r>
        <w:r>
          <w:instrText xml:space="preserve"> PAGE   \* MERGEFORMAT </w:instrText>
        </w:r>
        <w:r>
          <w:fldChar w:fldCharType="separate"/>
        </w:r>
        <w:r w:rsidR="00D94F90">
          <w:rPr>
            <w:noProof/>
          </w:rPr>
          <w:t>2</w:t>
        </w:r>
        <w:r>
          <w:rPr>
            <w:noProof/>
          </w:rPr>
          <w:fldChar w:fldCharType="end"/>
        </w:r>
      </w:p>
    </w:sdtContent>
  </w:sdt>
  <w:p w:rsidR="00874224" w:rsidRDefault="00874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024641"/>
      <w:docPartObj>
        <w:docPartGallery w:val="Page Numbers (Bottom of Page)"/>
        <w:docPartUnique/>
      </w:docPartObj>
    </w:sdtPr>
    <w:sdtEndPr>
      <w:rPr>
        <w:noProof/>
      </w:rPr>
    </w:sdtEndPr>
    <w:sdtContent>
      <w:p w:rsidR="00874224" w:rsidRDefault="00874224">
        <w:pPr>
          <w:pStyle w:val="Footer"/>
          <w:jc w:val="center"/>
        </w:pPr>
        <w:r>
          <w:fldChar w:fldCharType="begin"/>
        </w:r>
        <w:r>
          <w:instrText xml:space="preserve"> PAGE   \* MERGEFORMAT </w:instrText>
        </w:r>
        <w:r>
          <w:fldChar w:fldCharType="separate"/>
        </w:r>
        <w:r w:rsidR="00D94F90">
          <w:rPr>
            <w:noProof/>
          </w:rPr>
          <w:t>1</w:t>
        </w:r>
        <w:r>
          <w:rPr>
            <w:noProof/>
          </w:rPr>
          <w:fldChar w:fldCharType="end"/>
        </w:r>
      </w:p>
    </w:sdtContent>
  </w:sdt>
  <w:p w:rsidR="00874224" w:rsidRDefault="008742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634427"/>
      <w:docPartObj>
        <w:docPartGallery w:val="Page Numbers (Bottom of Page)"/>
        <w:docPartUnique/>
      </w:docPartObj>
    </w:sdtPr>
    <w:sdtEndPr>
      <w:rPr>
        <w:noProof/>
      </w:rPr>
    </w:sdtEndPr>
    <w:sdtContent>
      <w:p w:rsidR="00874224" w:rsidRDefault="00874224">
        <w:pPr>
          <w:pStyle w:val="Footer"/>
          <w:jc w:val="center"/>
        </w:pPr>
        <w:r>
          <w:fldChar w:fldCharType="begin"/>
        </w:r>
        <w:r>
          <w:instrText xml:space="preserve"> PAGE   \* MERGEFORMAT </w:instrText>
        </w:r>
        <w:r>
          <w:fldChar w:fldCharType="separate"/>
        </w:r>
        <w:r w:rsidR="00D94F90">
          <w:rPr>
            <w:noProof/>
          </w:rPr>
          <w:t>6</w:t>
        </w:r>
        <w:r>
          <w:rPr>
            <w:noProof/>
          </w:rPr>
          <w:fldChar w:fldCharType="end"/>
        </w:r>
      </w:p>
    </w:sdtContent>
  </w:sdt>
  <w:p w:rsidR="00874224" w:rsidRDefault="008742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41995"/>
      <w:docPartObj>
        <w:docPartGallery w:val="Page Numbers (Bottom of Page)"/>
        <w:docPartUnique/>
      </w:docPartObj>
    </w:sdtPr>
    <w:sdtEndPr>
      <w:rPr>
        <w:noProof/>
      </w:rPr>
    </w:sdtEndPr>
    <w:sdtContent>
      <w:p w:rsidR="00874224" w:rsidRDefault="00874224">
        <w:pPr>
          <w:pStyle w:val="Footer"/>
          <w:jc w:val="center"/>
        </w:pPr>
        <w:r>
          <w:fldChar w:fldCharType="begin"/>
        </w:r>
        <w:r>
          <w:instrText xml:space="preserve"> PAGE   \* MERGEFORMAT </w:instrText>
        </w:r>
        <w:r>
          <w:fldChar w:fldCharType="separate"/>
        </w:r>
        <w:r w:rsidR="00D94F90">
          <w:rPr>
            <w:noProof/>
          </w:rPr>
          <w:t>8</w:t>
        </w:r>
        <w:r>
          <w:rPr>
            <w:noProof/>
          </w:rPr>
          <w:fldChar w:fldCharType="end"/>
        </w:r>
      </w:p>
    </w:sdtContent>
  </w:sdt>
  <w:p w:rsidR="00874224" w:rsidRDefault="00874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CF2" w:rsidRDefault="00B17CF2" w:rsidP="004456C6">
      <w:pPr>
        <w:spacing w:after="0" w:line="240" w:lineRule="auto"/>
      </w:pPr>
      <w:r>
        <w:separator/>
      </w:r>
    </w:p>
  </w:footnote>
  <w:footnote w:type="continuationSeparator" w:id="0">
    <w:p w:rsidR="00B17CF2" w:rsidRDefault="00B17CF2" w:rsidP="00445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24" w:rsidRDefault="00874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05A"/>
    <w:multiLevelType w:val="hybridMultilevel"/>
    <w:tmpl w:val="482E6E60"/>
    <w:lvl w:ilvl="0" w:tplc="04090001">
      <w:start w:val="1"/>
      <w:numFmt w:val="bullet"/>
      <w:lvlText w:val=""/>
      <w:lvlJc w:val="left"/>
      <w:pPr>
        <w:tabs>
          <w:tab w:val="num" w:pos="2520"/>
        </w:tabs>
        <w:ind w:left="2520" w:hanging="360"/>
      </w:pPr>
      <w:rPr>
        <w:rFonts w:ascii="Symbol" w:hAnsi="Symbol" w:hint="default"/>
      </w:rPr>
    </w:lvl>
    <w:lvl w:ilvl="1" w:tplc="04090019">
      <w:start w:val="1"/>
      <w:numFmt w:val="lowerLetter"/>
      <w:lvlText w:val="%2."/>
      <w:lvlJc w:val="left"/>
      <w:pPr>
        <w:tabs>
          <w:tab w:val="num" w:pos="3240"/>
        </w:tabs>
        <w:ind w:left="3240" w:hanging="360"/>
      </w:pPr>
      <w:rPr>
        <w:rFonts w:hint="default"/>
      </w:rPr>
    </w:lvl>
    <w:lvl w:ilvl="2" w:tplc="C4489ECC">
      <w:start w:val="1"/>
      <w:numFmt w:val="lowerRoman"/>
      <w:lvlText w:val="(%3)"/>
      <w:lvlJc w:val="left"/>
      <w:pPr>
        <w:ind w:left="4320" w:hanging="720"/>
      </w:pPr>
      <w:rPr>
        <w:rFont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CB239FD"/>
    <w:multiLevelType w:val="hybridMultilevel"/>
    <w:tmpl w:val="C0C0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9472D"/>
    <w:multiLevelType w:val="hybridMultilevel"/>
    <w:tmpl w:val="ADDE94E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nsid w:val="15EA671A"/>
    <w:multiLevelType w:val="hybridMultilevel"/>
    <w:tmpl w:val="2CDC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30DFD"/>
    <w:multiLevelType w:val="hybridMultilevel"/>
    <w:tmpl w:val="8FA0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F6E88"/>
    <w:multiLevelType w:val="hybridMultilevel"/>
    <w:tmpl w:val="382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C29B5"/>
    <w:multiLevelType w:val="hybridMultilevel"/>
    <w:tmpl w:val="995831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1025F0A"/>
    <w:multiLevelType w:val="hybridMultilevel"/>
    <w:tmpl w:val="B0C0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4347B"/>
    <w:multiLevelType w:val="hybridMultilevel"/>
    <w:tmpl w:val="2C4006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47663F8"/>
    <w:multiLevelType w:val="hybridMultilevel"/>
    <w:tmpl w:val="F3826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0E1100"/>
    <w:multiLevelType w:val="hybridMultilevel"/>
    <w:tmpl w:val="85AEEFDC"/>
    <w:lvl w:ilvl="0" w:tplc="805CB9FC">
      <w:start w:val="1"/>
      <w:numFmt w:val="decimal"/>
      <w:lvlText w:val="%1."/>
      <w:lvlJc w:val="left"/>
      <w:pPr>
        <w:ind w:left="3240" w:hanging="360"/>
      </w:pPr>
      <w:rPr>
        <w:rFonts w:hint="default"/>
      </w:rPr>
    </w:lvl>
    <w:lvl w:ilvl="1" w:tplc="84C4E93A">
      <w:numFmt w:val="bullet"/>
      <w:lvlText w:val="•"/>
      <w:lvlJc w:val="left"/>
      <w:pPr>
        <w:ind w:left="3960" w:hanging="360"/>
      </w:pPr>
      <w:rPr>
        <w:rFonts w:ascii="Calibri" w:eastAsiaTheme="minorHAnsi" w:hAnsi="Calibri" w:cstheme="minorBidi"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3DDC62E3"/>
    <w:multiLevelType w:val="hybridMultilevel"/>
    <w:tmpl w:val="DB2EE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584209"/>
    <w:multiLevelType w:val="hybridMultilevel"/>
    <w:tmpl w:val="4CBEA8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4A363B77"/>
    <w:multiLevelType w:val="hybridMultilevel"/>
    <w:tmpl w:val="147A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85A86"/>
    <w:multiLevelType w:val="hybridMultilevel"/>
    <w:tmpl w:val="02F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7F4829"/>
    <w:multiLevelType w:val="hybridMultilevel"/>
    <w:tmpl w:val="FE8E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760427"/>
    <w:multiLevelType w:val="hybridMultilevel"/>
    <w:tmpl w:val="5290B53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5138F4"/>
    <w:multiLevelType w:val="hybridMultilevel"/>
    <w:tmpl w:val="3126CA94"/>
    <w:lvl w:ilvl="0" w:tplc="01F8F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5065AE"/>
    <w:multiLevelType w:val="hybridMultilevel"/>
    <w:tmpl w:val="54302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3F5747"/>
    <w:multiLevelType w:val="hybridMultilevel"/>
    <w:tmpl w:val="ED7070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6DDE1EBA"/>
    <w:multiLevelType w:val="hybridMultilevel"/>
    <w:tmpl w:val="76AE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460E66"/>
    <w:multiLevelType w:val="hybridMultilevel"/>
    <w:tmpl w:val="32FC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852668"/>
    <w:multiLevelType w:val="hybridMultilevel"/>
    <w:tmpl w:val="51BAB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111300"/>
    <w:multiLevelType w:val="hybridMultilevel"/>
    <w:tmpl w:val="23527A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7B2E63EF"/>
    <w:multiLevelType w:val="hybridMultilevel"/>
    <w:tmpl w:val="65CA4BD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num w:numId="1">
    <w:abstractNumId w:val="15"/>
  </w:num>
  <w:num w:numId="2">
    <w:abstractNumId w:val="17"/>
  </w:num>
  <w:num w:numId="3">
    <w:abstractNumId w:val="13"/>
  </w:num>
  <w:num w:numId="4">
    <w:abstractNumId w:val="4"/>
  </w:num>
  <w:num w:numId="5">
    <w:abstractNumId w:val="3"/>
  </w:num>
  <w:num w:numId="6">
    <w:abstractNumId w:val="18"/>
  </w:num>
  <w:num w:numId="7">
    <w:abstractNumId w:val="11"/>
  </w:num>
  <w:num w:numId="8">
    <w:abstractNumId w:val="8"/>
  </w:num>
  <w:num w:numId="9">
    <w:abstractNumId w:val="22"/>
  </w:num>
  <w:num w:numId="10">
    <w:abstractNumId w:val="6"/>
  </w:num>
  <w:num w:numId="11">
    <w:abstractNumId w:val="14"/>
  </w:num>
  <w:num w:numId="12">
    <w:abstractNumId w:val="7"/>
  </w:num>
  <w:num w:numId="13">
    <w:abstractNumId w:val="1"/>
  </w:num>
  <w:num w:numId="14">
    <w:abstractNumId w:val="5"/>
  </w:num>
  <w:num w:numId="15">
    <w:abstractNumId w:val="0"/>
  </w:num>
  <w:num w:numId="16">
    <w:abstractNumId w:val="9"/>
  </w:num>
  <w:num w:numId="17">
    <w:abstractNumId w:val="23"/>
  </w:num>
  <w:num w:numId="18">
    <w:abstractNumId w:val="19"/>
  </w:num>
  <w:num w:numId="19">
    <w:abstractNumId w:val="24"/>
  </w:num>
  <w:num w:numId="20">
    <w:abstractNumId w:val="16"/>
  </w:num>
  <w:num w:numId="21">
    <w:abstractNumId w:val="21"/>
  </w:num>
  <w:num w:numId="22">
    <w:abstractNumId w:val="20"/>
  </w:num>
  <w:num w:numId="23">
    <w:abstractNumId w:val="12"/>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C6"/>
    <w:rsid w:val="000073B5"/>
    <w:rsid w:val="000119A5"/>
    <w:rsid w:val="00013A81"/>
    <w:rsid w:val="00014C74"/>
    <w:rsid w:val="000233DB"/>
    <w:rsid w:val="0003111F"/>
    <w:rsid w:val="00044437"/>
    <w:rsid w:val="00046F34"/>
    <w:rsid w:val="00072FBC"/>
    <w:rsid w:val="00074E78"/>
    <w:rsid w:val="000823AC"/>
    <w:rsid w:val="00084D3B"/>
    <w:rsid w:val="00096A89"/>
    <w:rsid w:val="000B731C"/>
    <w:rsid w:val="000D3706"/>
    <w:rsid w:val="000F10B3"/>
    <w:rsid w:val="000F756B"/>
    <w:rsid w:val="000F7BDE"/>
    <w:rsid w:val="001037DC"/>
    <w:rsid w:val="00120C23"/>
    <w:rsid w:val="001241CC"/>
    <w:rsid w:val="00134575"/>
    <w:rsid w:val="0015520D"/>
    <w:rsid w:val="001D11A0"/>
    <w:rsid w:val="001D29E2"/>
    <w:rsid w:val="001E1FD4"/>
    <w:rsid w:val="001E256E"/>
    <w:rsid w:val="001E423F"/>
    <w:rsid w:val="001F15F8"/>
    <w:rsid w:val="001F5234"/>
    <w:rsid w:val="0020242D"/>
    <w:rsid w:val="00207BCE"/>
    <w:rsid w:val="00216E44"/>
    <w:rsid w:val="002452C9"/>
    <w:rsid w:val="00246FA0"/>
    <w:rsid w:val="002665B6"/>
    <w:rsid w:val="00276DEF"/>
    <w:rsid w:val="00291061"/>
    <w:rsid w:val="002D513D"/>
    <w:rsid w:val="002F6A6D"/>
    <w:rsid w:val="002F781A"/>
    <w:rsid w:val="0030265E"/>
    <w:rsid w:val="00303E57"/>
    <w:rsid w:val="00310956"/>
    <w:rsid w:val="0031567E"/>
    <w:rsid w:val="00322363"/>
    <w:rsid w:val="0036175D"/>
    <w:rsid w:val="0036624F"/>
    <w:rsid w:val="00372B01"/>
    <w:rsid w:val="00375966"/>
    <w:rsid w:val="00377592"/>
    <w:rsid w:val="00377B49"/>
    <w:rsid w:val="00387574"/>
    <w:rsid w:val="003C6190"/>
    <w:rsid w:val="003C6E50"/>
    <w:rsid w:val="003E0019"/>
    <w:rsid w:val="00400835"/>
    <w:rsid w:val="00405716"/>
    <w:rsid w:val="0041381C"/>
    <w:rsid w:val="00441844"/>
    <w:rsid w:val="004456C6"/>
    <w:rsid w:val="00471539"/>
    <w:rsid w:val="0048644A"/>
    <w:rsid w:val="004872CE"/>
    <w:rsid w:val="004B4B9C"/>
    <w:rsid w:val="004D2270"/>
    <w:rsid w:val="004E3CF3"/>
    <w:rsid w:val="004E4CFF"/>
    <w:rsid w:val="004E7DB4"/>
    <w:rsid w:val="004F1F22"/>
    <w:rsid w:val="004F380A"/>
    <w:rsid w:val="005179EC"/>
    <w:rsid w:val="00525E0F"/>
    <w:rsid w:val="00526B38"/>
    <w:rsid w:val="005456FF"/>
    <w:rsid w:val="00546188"/>
    <w:rsid w:val="00561A62"/>
    <w:rsid w:val="00570F67"/>
    <w:rsid w:val="0057423C"/>
    <w:rsid w:val="005770E1"/>
    <w:rsid w:val="00580FE6"/>
    <w:rsid w:val="00595C47"/>
    <w:rsid w:val="00597229"/>
    <w:rsid w:val="005A4680"/>
    <w:rsid w:val="005C06F5"/>
    <w:rsid w:val="005C6834"/>
    <w:rsid w:val="005F287B"/>
    <w:rsid w:val="005F7BA2"/>
    <w:rsid w:val="006137D7"/>
    <w:rsid w:val="006313D4"/>
    <w:rsid w:val="00662295"/>
    <w:rsid w:val="0069200E"/>
    <w:rsid w:val="0069780C"/>
    <w:rsid w:val="006A3338"/>
    <w:rsid w:val="006B3FC1"/>
    <w:rsid w:val="006D2CD1"/>
    <w:rsid w:val="006E3ABF"/>
    <w:rsid w:val="00700ED4"/>
    <w:rsid w:val="0071711A"/>
    <w:rsid w:val="0072103B"/>
    <w:rsid w:val="007545F8"/>
    <w:rsid w:val="0075647D"/>
    <w:rsid w:val="00771434"/>
    <w:rsid w:val="007808A8"/>
    <w:rsid w:val="007A0306"/>
    <w:rsid w:val="007F6870"/>
    <w:rsid w:val="008036F2"/>
    <w:rsid w:val="008166EA"/>
    <w:rsid w:val="00821073"/>
    <w:rsid w:val="00826232"/>
    <w:rsid w:val="00846165"/>
    <w:rsid w:val="00874224"/>
    <w:rsid w:val="008776AC"/>
    <w:rsid w:val="008869E0"/>
    <w:rsid w:val="008B6CE9"/>
    <w:rsid w:val="008C397C"/>
    <w:rsid w:val="008D42A8"/>
    <w:rsid w:val="008F3099"/>
    <w:rsid w:val="009054C2"/>
    <w:rsid w:val="00906329"/>
    <w:rsid w:val="00921CCB"/>
    <w:rsid w:val="0092603A"/>
    <w:rsid w:val="00932B78"/>
    <w:rsid w:val="00946097"/>
    <w:rsid w:val="00954AB0"/>
    <w:rsid w:val="009567C7"/>
    <w:rsid w:val="00970230"/>
    <w:rsid w:val="00983548"/>
    <w:rsid w:val="00983F87"/>
    <w:rsid w:val="00996EB1"/>
    <w:rsid w:val="009A5C14"/>
    <w:rsid w:val="009A60C3"/>
    <w:rsid w:val="009C56A4"/>
    <w:rsid w:val="009E0147"/>
    <w:rsid w:val="00A12444"/>
    <w:rsid w:val="00A21D2C"/>
    <w:rsid w:val="00A24BAB"/>
    <w:rsid w:val="00A57786"/>
    <w:rsid w:val="00A61EF4"/>
    <w:rsid w:val="00A63786"/>
    <w:rsid w:val="00A63D8B"/>
    <w:rsid w:val="00AB391A"/>
    <w:rsid w:val="00AD76AB"/>
    <w:rsid w:val="00AE05DB"/>
    <w:rsid w:val="00B17CF2"/>
    <w:rsid w:val="00B33EA0"/>
    <w:rsid w:val="00B60CEF"/>
    <w:rsid w:val="00B61F68"/>
    <w:rsid w:val="00B83128"/>
    <w:rsid w:val="00B8314A"/>
    <w:rsid w:val="00BE4303"/>
    <w:rsid w:val="00BF57F5"/>
    <w:rsid w:val="00C03971"/>
    <w:rsid w:val="00C10350"/>
    <w:rsid w:val="00C20588"/>
    <w:rsid w:val="00C34A5A"/>
    <w:rsid w:val="00C4270D"/>
    <w:rsid w:val="00C562DC"/>
    <w:rsid w:val="00C71222"/>
    <w:rsid w:val="00C906F4"/>
    <w:rsid w:val="00C940D5"/>
    <w:rsid w:val="00C95232"/>
    <w:rsid w:val="00CA4BFD"/>
    <w:rsid w:val="00CB752E"/>
    <w:rsid w:val="00D159BB"/>
    <w:rsid w:val="00D2432E"/>
    <w:rsid w:val="00D27C88"/>
    <w:rsid w:val="00D311CA"/>
    <w:rsid w:val="00D32427"/>
    <w:rsid w:val="00D61A80"/>
    <w:rsid w:val="00D66757"/>
    <w:rsid w:val="00D67A98"/>
    <w:rsid w:val="00D72557"/>
    <w:rsid w:val="00D86970"/>
    <w:rsid w:val="00D873CC"/>
    <w:rsid w:val="00D93C4B"/>
    <w:rsid w:val="00D94F90"/>
    <w:rsid w:val="00D9657D"/>
    <w:rsid w:val="00D97140"/>
    <w:rsid w:val="00DB4131"/>
    <w:rsid w:val="00DE3051"/>
    <w:rsid w:val="00DE7CDF"/>
    <w:rsid w:val="00DF0CA9"/>
    <w:rsid w:val="00DF3C59"/>
    <w:rsid w:val="00E11F68"/>
    <w:rsid w:val="00E24155"/>
    <w:rsid w:val="00E33872"/>
    <w:rsid w:val="00E35DA4"/>
    <w:rsid w:val="00E4567E"/>
    <w:rsid w:val="00E51B63"/>
    <w:rsid w:val="00E66FB6"/>
    <w:rsid w:val="00E77B7E"/>
    <w:rsid w:val="00EA4087"/>
    <w:rsid w:val="00EC0F0F"/>
    <w:rsid w:val="00EC7EF0"/>
    <w:rsid w:val="00ED469F"/>
    <w:rsid w:val="00ED5B14"/>
    <w:rsid w:val="00F441D2"/>
    <w:rsid w:val="00F7292B"/>
    <w:rsid w:val="00FB3115"/>
    <w:rsid w:val="00FB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D4"/>
  </w:style>
  <w:style w:type="paragraph" w:styleId="Heading1">
    <w:name w:val="heading 1"/>
    <w:basedOn w:val="Normal"/>
    <w:next w:val="Normal"/>
    <w:link w:val="Heading1Char"/>
    <w:uiPriority w:val="9"/>
    <w:qFormat/>
    <w:rsid w:val="001E1F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F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1F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F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1F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1FD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E1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1FD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E1F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1FD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E1FD4"/>
    <w:pPr>
      <w:spacing w:after="0" w:line="240" w:lineRule="auto"/>
    </w:pPr>
    <w:rPr>
      <w:sz w:val="24"/>
    </w:rPr>
  </w:style>
  <w:style w:type="paragraph" w:styleId="ListParagraph">
    <w:name w:val="List Paragraph"/>
    <w:basedOn w:val="Normal"/>
    <w:uiPriority w:val="34"/>
    <w:qFormat/>
    <w:rsid w:val="001E1FD4"/>
    <w:pPr>
      <w:ind w:left="720"/>
      <w:contextualSpacing/>
    </w:pPr>
  </w:style>
  <w:style w:type="paragraph" w:styleId="TOCHeading">
    <w:name w:val="TOC Heading"/>
    <w:basedOn w:val="Heading1"/>
    <w:next w:val="Normal"/>
    <w:uiPriority w:val="39"/>
    <w:semiHidden/>
    <w:unhideWhenUsed/>
    <w:qFormat/>
    <w:rsid w:val="001E1FD4"/>
    <w:pPr>
      <w:outlineLvl w:val="9"/>
    </w:pPr>
    <w:rPr>
      <w:lang w:eastAsia="ja-JP"/>
    </w:rPr>
  </w:style>
  <w:style w:type="paragraph" w:styleId="Header">
    <w:name w:val="header"/>
    <w:basedOn w:val="Normal"/>
    <w:link w:val="HeaderChar"/>
    <w:uiPriority w:val="99"/>
    <w:unhideWhenUsed/>
    <w:rsid w:val="00445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C6"/>
  </w:style>
  <w:style w:type="paragraph" w:styleId="Footer">
    <w:name w:val="footer"/>
    <w:basedOn w:val="Normal"/>
    <w:link w:val="FooterChar"/>
    <w:uiPriority w:val="99"/>
    <w:unhideWhenUsed/>
    <w:rsid w:val="00445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6C6"/>
  </w:style>
  <w:style w:type="paragraph" w:styleId="BalloonText">
    <w:name w:val="Balloon Text"/>
    <w:basedOn w:val="Normal"/>
    <w:link w:val="BalloonTextChar"/>
    <w:uiPriority w:val="99"/>
    <w:semiHidden/>
    <w:unhideWhenUsed/>
    <w:rsid w:val="00445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6C6"/>
    <w:rPr>
      <w:rFonts w:ascii="Tahoma" w:hAnsi="Tahoma" w:cs="Tahoma"/>
      <w:sz w:val="16"/>
      <w:szCs w:val="16"/>
    </w:rPr>
  </w:style>
  <w:style w:type="table" w:styleId="TableGrid">
    <w:name w:val="Table Grid"/>
    <w:basedOn w:val="TableNormal"/>
    <w:uiPriority w:val="59"/>
    <w:rsid w:val="003C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61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190"/>
    <w:rPr>
      <w:sz w:val="20"/>
      <w:szCs w:val="20"/>
    </w:rPr>
  </w:style>
  <w:style w:type="character" w:styleId="FootnoteReference">
    <w:name w:val="footnote reference"/>
    <w:basedOn w:val="DefaultParagraphFont"/>
    <w:uiPriority w:val="99"/>
    <w:semiHidden/>
    <w:unhideWhenUsed/>
    <w:rsid w:val="003C6190"/>
    <w:rPr>
      <w:vertAlign w:val="superscript"/>
    </w:rPr>
  </w:style>
  <w:style w:type="character" w:styleId="Hyperlink">
    <w:name w:val="Hyperlink"/>
    <w:basedOn w:val="DefaultParagraphFont"/>
    <w:uiPriority w:val="99"/>
    <w:unhideWhenUsed/>
    <w:rsid w:val="00B8314A"/>
    <w:rPr>
      <w:color w:val="0000FF"/>
      <w:u w:val="single"/>
    </w:rPr>
  </w:style>
  <w:style w:type="table" w:styleId="LightShading-Accent1">
    <w:name w:val="Light Shading Accent 1"/>
    <w:basedOn w:val="TableNormal"/>
    <w:uiPriority w:val="60"/>
    <w:rsid w:val="004E7DB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4E7DB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4E7DB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odyText2">
    <w:name w:val="Body Text 2"/>
    <w:basedOn w:val="Normal"/>
    <w:link w:val="BodyText2Char"/>
    <w:rsid w:val="00A63D8B"/>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A63D8B"/>
    <w:rPr>
      <w:rFonts w:ascii="Arial" w:eastAsia="Times New Roman" w:hAnsi="Arial" w:cs="Arial"/>
      <w:b/>
      <w:bCs/>
      <w:sz w:val="24"/>
      <w:szCs w:val="24"/>
    </w:rPr>
  </w:style>
  <w:style w:type="character" w:styleId="Strong">
    <w:name w:val="Strong"/>
    <w:basedOn w:val="DefaultParagraphFont"/>
    <w:uiPriority w:val="22"/>
    <w:qFormat/>
    <w:rsid w:val="00A63D8B"/>
    <w:rPr>
      <w:b/>
      <w:bCs/>
      <w:color w:val="265898" w:themeColor="text2" w:themeTint="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D4"/>
  </w:style>
  <w:style w:type="paragraph" w:styleId="Heading1">
    <w:name w:val="heading 1"/>
    <w:basedOn w:val="Normal"/>
    <w:next w:val="Normal"/>
    <w:link w:val="Heading1Char"/>
    <w:uiPriority w:val="9"/>
    <w:qFormat/>
    <w:rsid w:val="001E1F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F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1F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F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1F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1FD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E1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1FD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E1F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1FD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E1FD4"/>
    <w:pPr>
      <w:spacing w:after="0" w:line="240" w:lineRule="auto"/>
    </w:pPr>
    <w:rPr>
      <w:sz w:val="24"/>
    </w:rPr>
  </w:style>
  <w:style w:type="paragraph" w:styleId="ListParagraph">
    <w:name w:val="List Paragraph"/>
    <w:basedOn w:val="Normal"/>
    <w:uiPriority w:val="34"/>
    <w:qFormat/>
    <w:rsid w:val="001E1FD4"/>
    <w:pPr>
      <w:ind w:left="720"/>
      <w:contextualSpacing/>
    </w:pPr>
  </w:style>
  <w:style w:type="paragraph" w:styleId="TOCHeading">
    <w:name w:val="TOC Heading"/>
    <w:basedOn w:val="Heading1"/>
    <w:next w:val="Normal"/>
    <w:uiPriority w:val="39"/>
    <w:semiHidden/>
    <w:unhideWhenUsed/>
    <w:qFormat/>
    <w:rsid w:val="001E1FD4"/>
    <w:pPr>
      <w:outlineLvl w:val="9"/>
    </w:pPr>
    <w:rPr>
      <w:lang w:eastAsia="ja-JP"/>
    </w:rPr>
  </w:style>
  <w:style w:type="paragraph" w:styleId="Header">
    <w:name w:val="header"/>
    <w:basedOn w:val="Normal"/>
    <w:link w:val="HeaderChar"/>
    <w:uiPriority w:val="99"/>
    <w:unhideWhenUsed/>
    <w:rsid w:val="00445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C6"/>
  </w:style>
  <w:style w:type="paragraph" w:styleId="Footer">
    <w:name w:val="footer"/>
    <w:basedOn w:val="Normal"/>
    <w:link w:val="FooterChar"/>
    <w:uiPriority w:val="99"/>
    <w:unhideWhenUsed/>
    <w:rsid w:val="00445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6C6"/>
  </w:style>
  <w:style w:type="paragraph" w:styleId="BalloonText">
    <w:name w:val="Balloon Text"/>
    <w:basedOn w:val="Normal"/>
    <w:link w:val="BalloonTextChar"/>
    <w:uiPriority w:val="99"/>
    <w:semiHidden/>
    <w:unhideWhenUsed/>
    <w:rsid w:val="00445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6C6"/>
    <w:rPr>
      <w:rFonts w:ascii="Tahoma" w:hAnsi="Tahoma" w:cs="Tahoma"/>
      <w:sz w:val="16"/>
      <w:szCs w:val="16"/>
    </w:rPr>
  </w:style>
  <w:style w:type="table" w:styleId="TableGrid">
    <w:name w:val="Table Grid"/>
    <w:basedOn w:val="TableNormal"/>
    <w:uiPriority w:val="59"/>
    <w:rsid w:val="003C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61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190"/>
    <w:rPr>
      <w:sz w:val="20"/>
      <w:szCs w:val="20"/>
    </w:rPr>
  </w:style>
  <w:style w:type="character" w:styleId="FootnoteReference">
    <w:name w:val="footnote reference"/>
    <w:basedOn w:val="DefaultParagraphFont"/>
    <w:uiPriority w:val="99"/>
    <w:semiHidden/>
    <w:unhideWhenUsed/>
    <w:rsid w:val="003C6190"/>
    <w:rPr>
      <w:vertAlign w:val="superscript"/>
    </w:rPr>
  </w:style>
  <w:style w:type="character" w:styleId="Hyperlink">
    <w:name w:val="Hyperlink"/>
    <w:basedOn w:val="DefaultParagraphFont"/>
    <w:uiPriority w:val="99"/>
    <w:unhideWhenUsed/>
    <w:rsid w:val="00B8314A"/>
    <w:rPr>
      <w:color w:val="0000FF"/>
      <w:u w:val="single"/>
    </w:rPr>
  </w:style>
  <w:style w:type="table" w:styleId="LightShading-Accent1">
    <w:name w:val="Light Shading Accent 1"/>
    <w:basedOn w:val="TableNormal"/>
    <w:uiPriority w:val="60"/>
    <w:rsid w:val="004E7DB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4E7DB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4E7DB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odyText2">
    <w:name w:val="Body Text 2"/>
    <w:basedOn w:val="Normal"/>
    <w:link w:val="BodyText2Char"/>
    <w:rsid w:val="00A63D8B"/>
    <w:pPr>
      <w:spacing w:after="0" w:line="240" w:lineRule="auto"/>
    </w:pPr>
    <w:rPr>
      <w:rFonts w:ascii="Arial" w:eastAsia="Times New Roman" w:hAnsi="Arial" w:cs="Arial"/>
      <w:b/>
      <w:bCs/>
      <w:sz w:val="24"/>
      <w:szCs w:val="24"/>
    </w:rPr>
  </w:style>
  <w:style w:type="character" w:customStyle="1" w:styleId="BodyText2Char">
    <w:name w:val="Body Text 2 Char"/>
    <w:basedOn w:val="DefaultParagraphFont"/>
    <w:link w:val="BodyText2"/>
    <w:rsid w:val="00A63D8B"/>
    <w:rPr>
      <w:rFonts w:ascii="Arial" w:eastAsia="Times New Roman" w:hAnsi="Arial" w:cs="Arial"/>
      <w:b/>
      <w:bCs/>
      <w:sz w:val="24"/>
      <w:szCs w:val="24"/>
    </w:rPr>
  </w:style>
  <w:style w:type="character" w:styleId="Strong">
    <w:name w:val="Strong"/>
    <w:basedOn w:val="DefaultParagraphFont"/>
    <w:uiPriority w:val="22"/>
    <w:qFormat/>
    <w:rsid w:val="00A63D8B"/>
    <w:rPr>
      <w:b/>
      <w:bCs/>
      <w:color w:val="265898" w:themeColor="text2" w:themeTint="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merkman@springfieldcityhall.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merkman@springfieldcityhal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mccafferty@springfieldcityhal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mccafferty@springfieldcityhall.co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hudexchange.info/resources/documents/nofa-for-fy2014-funds-in-the-fy2013-fy2013-coc-program-competition.pdf" TargetMode="External"/><Relationship Id="rId14" Type="http://schemas.openxmlformats.org/officeDocument/2006/relationships/hyperlink" Target="http://westernmasshousingfirst.org/coc/hampden-c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1A4DFCB-173A-46E8-B615-4F5D4EF7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3029</Words>
  <Characters>17271</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dc:creator>
  <cp:lastModifiedBy>McCafferty, Gerry</cp:lastModifiedBy>
  <cp:revision>2</cp:revision>
  <cp:lastPrinted>2013-12-04T23:25:00Z</cp:lastPrinted>
  <dcterms:created xsi:type="dcterms:W3CDTF">2014-09-19T19:08:00Z</dcterms:created>
  <dcterms:modified xsi:type="dcterms:W3CDTF">2014-09-19T19:08:00Z</dcterms:modified>
</cp:coreProperties>
</file>