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8A" w:rsidRPr="00D513C3" w:rsidRDefault="0090088A" w:rsidP="0090088A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8"/>
          <w:szCs w:val="28"/>
        </w:rPr>
      </w:pPr>
      <w:r w:rsidRPr="0090088A"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8"/>
          <w:szCs w:val="28"/>
        </w:rPr>
        <w:t>HAMPDEN COUNTY CONTINUUM OF CARE</w:t>
      </w:r>
    </w:p>
    <w:p w:rsidR="00EC6005" w:rsidRPr="008A2804" w:rsidRDefault="0074485B" w:rsidP="0074485B">
      <w:pPr>
        <w:pBdr>
          <w:bottom w:val="single" w:sz="4" w:space="1" w:color="242852" w:themeColor="text2"/>
        </w:pBdr>
        <w:jc w:val="center"/>
        <w:rPr>
          <w:rFonts w:ascii="Calibri" w:hAnsi="Calibri"/>
          <w:b/>
          <w:color w:val="242852" w:themeColor="text2"/>
          <w:sz w:val="36"/>
          <w:szCs w:val="36"/>
        </w:rPr>
      </w:pPr>
      <w:r w:rsidRPr="008A2804">
        <w:rPr>
          <w:rFonts w:ascii="Calibri" w:hAnsi="Calibri"/>
          <w:b/>
          <w:color w:val="242852" w:themeColor="text2"/>
          <w:sz w:val="36"/>
          <w:szCs w:val="36"/>
        </w:rPr>
        <w:t>Overview of Coordinated Assessment: VI-SPDAT</w:t>
      </w:r>
    </w:p>
    <w:p w:rsidR="00547A40" w:rsidRPr="008F0D25" w:rsidRDefault="00547A40" w:rsidP="00547A40">
      <w:pPr>
        <w:pStyle w:val="Heading2"/>
        <w:rPr>
          <w:rFonts w:ascii="Calibri" w:hAnsi="Calibri"/>
          <w:color w:val="242852" w:themeColor="text2"/>
          <w:sz w:val="28"/>
          <w:szCs w:val="28"/>
        </w:rPr>
      </w:pPr>
      <w:r w:rsidRPr="008F0D25">
        <w:rPr>
          <w:rFonts w:ascii="Calibri" w:hAnsi="Calibri"/>
          <w:color w:val="242852" w:themeColor="text2"/>
          <w:sz w:val="28"/>
          <w:szCs w:val="28"/>
        </w:rPr>
        <w:t>What Is Coordinated Assessment?</w:t>
      </w:r>
    </w:p>
    <w:p w:rsidR="008A2804" w:rsidRDefault="00547A40" w:rsidP="00547A40">
      <w:pPr>
        <w:jc w:val="both"/>
        <w:rPr>
          <w:rFonts w:ascii="Calibri" w:hAnsi="Calibri"/>
        </w:rPr>
      </w:pPr>
      <w:r w:rsidRPr="008A2804">
        <w:rPr>
          <w:rFonts w:ascii="Calibri" w:hAnsi="Calibri"/>
        </w:rPr>
        <w:t xml:space="preserve">Coordinated assessment is the use of </w:t>
      </w:r>
      <w:r w:rsidRPr="008A2804">
        <w:rPr>
          <w:rFonts w:ascii="Calibri" w:hAnsi="Calibri"/>
        </w:rPr>
        <w:t xml:space="preserve">a common </w:t>
      </w:r>
      <w:r w:rsidRPr="008A2804">
        <w:rPr>
          <w:rFonts w:ascii="Calibri" w:hAnsi="Calibri"/>
        </w:rPr>
        <w:t xml:space="preserve">tool for assessing the needs of people seeking homelessness assistance. </w:t>
      </w:r>
      <w:r w:rsidRPr="008A2804">
        <w:rPr>
          <w:rFonts w:ascii="Calibri" w:hAnsi="Calibri"/>
        </w:rPr>
        <w:t xml:space="preserve">Community-wide use of common assessment leads to decision-making </w:t>
      </w:r>
      <w:r w:rsidRPr="008A2804">
        <w:rPr>
          <w:rFonts w:ascii="Calibri" w:hAnsi="Calibri"/>
        </w:rPr>
        <w:t xml:space="preserve">about referrals </w:t>
      </w:r>
      <w:r w:rsidRPr="008A2804">
        <w:rPr>
          <w:rFonts w:ascii="Calibri" w:hAnsi="Calibri"/>
        </w:rPr>
        <w:t xml:space="preserve">that is </w:t>
      </w:r>
      <w:r w:rsidRPr="008A2804">
        <w:rPr>
          <w:rFonts w:ascii="Calibri" w:hAnsi="Calibri"/>
        </w:rPr>
        <w:t xml:space="preserve">based on consistent criteria </w:t>
      </w:r>
      <w:r w:rsidR="005106CB" w:rsidRPr="008A2804">
        <w:rPr>
          <w:rFonts w:ascii="Calibri" w:hAnsi="Calibri"/>
        </w:rPr>
        <w:t xml:space="preserve">of a household’s needs </w:t>
      </w:r>
      <w:r w:rsidRPr="008A2804">
        <w:rPr>
          <w:rFonts w:ascii="Calibri" w:hAnsi="Calibri"/>
        </w:rPr>
        <w:t>and a comprehensive understanding of each program’s requirements, target populations, and available openings and services.</w:t>
      </w:r>
      <w:r w:rsidRPr="008A2804">
        <w:rPr>
          <w:rFonts w:ascii="Calibri" w:hAnsi="Calibri"/>
        </w:rPr>
        <w:t xml:space="preserve"> </w:t>
      </w:r>
    </w:p>
    <w:p w:rsidR="008F0D25" w:rsidRDefault="00547A40" w:rsidP="00547A40">
      <w:pPr>
        <w:jc w:val="both"/>
        <w:rPr>
          <w:rFonts w:ascii="Calibri" w:hAnsi="Calibri"/>
        </w:rPr>
      </w:pPr>
      <w:r w:rsidRPr="008A2804">
        <w:rPr>
          <w:rFonts w:ascii="Calibri" w:hAnsi="Calibri"/>
        </w:rPr>
        <w:t xml:space="preserve">The </w:t>
      </w:r>
      <w:r w:rsidR="00AF443C" w:rsidRPr="008A2804">
        <w:rPr>
          <w:rFonts w:ascii="Calibri" w:hAnsi="Calibri"/>
        </w:rPr>
        <w:t xml:space="preserve">goal of </w:t>
      </w:r>
      <w:r w:rsidR="00AF443C" w:rsidRPr="008A2804">
        <w:rPr>
          <w:rFonts w:ascii="Calibri" w:hAnsi="Calibri"/>
        </w:rPr>
        <w:t xml:space="preserve">coordinated assessment </w:t>
      </w:r>
      <w:r w:rsidR="00296467" w:rsidRPr="008A2804">
        <w:rPr>
          <w:rFonts w:ascii="Calibri" w:hAnsi="Calibri"/>
        </w:rPr>
        <w:t xml:space="preserve">is </w:t>
      </w:r>
      <w:r w:rsidR="00AF443C" w:rsidRPr="008A2804">
        <w:rPr>
          <w:rFonts w:ascii="Calibri" w:hAnsi="Calibri"/>
        </w:rPr>
        <w:t>to better match people experiencing homelessness to the most appropria</w:t>
      </w:r>
      <w:r w:rsidRPr="008A2804">
        <w:rPr>
          <w:rFonts w:ascii="Calibri" w:hAnsi="Calibri"/>
        </w:rPr>
        <w:t xml:space="preserve">te types of housing assistance </w:t>
      </w:r>
      <w:r w:rsidR="00AF443C" w:rsidRPr="008A2804">
        <w:rPr>
          <w:rFonts w:ascii="Calibri" w:hAnsi="Calibri"/>
        </w:rPr>
        <w:t>based on an assessme</w:t>
      </w:r>
      <w:r w:rsidRPr="008A2804">
        <w:rPr>
          <w:rFonts w:ascii="Calibri" w:hAnsi="Calibri"/>
        </w:rPr>
        <w:t>nt of the needs of households.</w:t>
      </w:r>
      <w:r w:rsidR="008A2804">
        <w:rPr>
          <w:rFonts w:ascii="Calibri" w:hAnsi="Calibri"/>
        </w:rPr>
        <w:t xml:space="preserve">  </w:t>
      </w:r>
    </w:p>
    <w:p w:rsidR="008A2804" w:rsidRPr="008A2804" w:rsidRDefault="008A2804" w:rsidP="00547A40">
      <w:pPr>
        <w:jc w:val="both"/>
        <w:rPr>
          <w:rFonts w:ascii="Calibri" w:hAnsi="Calibri"/>
        </w:rPr>
      </w:pPr>
      <w:r>
        <w:rPr>
          <w:rFonts w:ascii="Calibri" w:hAnsi="Calibri"/>
        </w:rPr>
        <w:t>HUD requires that Continuums of Care create systems of coordinated assessment for all programs funded by CoC and Emergency Solutions Grants (ESG).</w:t>
      </w:r>
    </w:p>
    <w:p w:rsidR="00547A40" w:rsidRPr="008F0D25" w:rsidRDefault="00547A40" w:rsidP="00547A40">
      <w:pPr>
        <w:pStyle w:val="Heading2"/>
        <w:rPr>
          <w:rFonts w:ascii="Calibri" w:hAnsi="Calibri"/>
          <w:color w:val="242852" w:themeColor="text2"/>
          <w:sz w:val="28"/>
          <w:szCs w:val="28"/>
        </w:rPr>
      </w:pPr>
      <w:r w:rsidRPr="008F0D25">
        <w:rPr>
          <w:rFonts w:ascii="Calibri" w:hAnsi="Calibri"/>
          <w:color w:val="242852" w:themeColor="text2"/>
          <w:sz w:val="28"/>
          <w:szCs w:val="28"/>
        </w:rPr>
        <w:t>When Does Coordinated Assessment Take Place?</w:t>
      </w:r>
    </w:p>
    <w:p w:rsidR="00547A40" w:rsidRPr="008A2804" w:rsidRDefault="0068603F" w:rsidP="008A2804">
      <w:pPr>
        <w:jc w:val="both"/>
        <w:rPr>
          <w:rFonts w:ascii="Calibri" w:hAnsi="Calibri"/>
        </w:rPr>
      </w:pPr>
      <w:r w:rsidRPr="008A2804">
        <w:rPr>
          <w:rFonts w:ascii="Calibri" w:hAnsi="Calibri"/>
        </w:rPr>
        <w:t xml:space="preserve">Locally, we have been talking about two key </w:t>
      </w:r>
      <w:r w:rsidR="005106CB" w:rsidRPr="008A2804">
        <w:rPr>
          <w:rFonts w:ascii="Calibri" w:hAnsi="Calibri"/>
        </w:rPr>
        <w:t>components of coordinated assessment: 1) Front-door assessment, which determines a household’s initial need for diversion, rapid rehousing, shelter, or another intervention; and 2) Back-door assessment, which determines appropriate placement for permanent supportive housing.  While a long-term goal is to have all assessment completed as early as possible, the goal of back-door assessment is to assist with prioritization for and proper placement into permanent supportive housing for people with chronic homelessness and/or high service needs.</w:t>
      </w:r>
      <w:r w:rsidR="008F0D25">
        <w:rPr>
          <w:rFonts w:ascii="Calibri" w:hAnsi="Calibri"/>
        </w:rPr>
        <w:t xml:space="preserve"> At this time, the Hampden County CoC is focused on implementing coordinated assessment in order to determine appropriateness for a permanent supportive housing placement.</w:t>
      </w:r>
    </w:p>
    <w:p w:rsidR="00547A40" w:rsidRPr="008F0D25" w:rsidRDefault="008A2804" w:rsidP="0090088A">
      <w:pPr>
        <w:pStyle w:val="Heading2"/>
        <w:rPr>
          <w:rFonts w:ascii="Calibri" w:hAnsi="Calibri"/>
          <w:color w:val="242852" w:themeColor="text2"/>
          <w:sz w:val="28"/>
          <w:szCs w:val="28"/>
        </w:rPr>
      </w:pPr>
      <w:r w:rsidRPr="008F0D25">
        <w:rPr>
          <w:rFonts w:ascii="Calibri" w:hAnsi="Calibri"/>
          <w:color w:val="242852" w:themeColor="text2"/>
          <w:sz w:val="28"/>
          <w:szCs w:val="28"/>
        </w:rPr>
        <w:t xml:space="preserve">What is the </w:t>
      </w:r>
      <w:r w:rsidR="0090088A" w:rsidRPr="008F0D25">
        <w:rPr>
          <w:rFonts w:ascii="Calibri" w:hAnsi="Calibri"/>
          <w:color w:val="242852" w:themeColor="text2"/>
          <w:sz w:val="28"/>
          <w:szCs w:val="28"/>
        </w:rPr>
        <w:t>VI-SPDAT</w:t>
      </w:r>
      <w:r w:rsidRPr="008F0D25">
        <w:rPr>
          <w:rFonts w:ascii="Calibri" w:hAnsi="Calibri"/>
          <w:color w:val="242852" w:themeColor="text2"/>
          <w:sz w:val="28"/>
          <w:szCs w:val="28"/>
        </w:rPr>
        <w:t>?</w:t>
      </w:r>
      <w:bookmarkStart w:id="0" w:name="_GoBack"/>
      <w:bookmarkEnd w:id="0"/>
    </w:p>
    <w:p w:rsidR="0090088A" w:rsidRDefault="008A2804" w:rsidP="008F0D25">
      <w:pPr>
        <w:jc w:val="both"/>
        <w:rPr>
          <w:rFonts w:ascii="Calibri" w:hAnsi="Calibri"/>
          <w:color w:val="1A1A1A"/>
          <w:lang w:val="en"/>
        </w:rPr>
      </w:pPr>
      <w:r w:rsidRPr="008A2804">
        <w:rPr>
          <w:rFonts w:ascii="Calibri" w:hAnsi="Calibri"/>
        </w:rPr>
        <w:t xml:space="preserve">The Vulnerability index-Service Prioritization Decision Assistance Tool (VI-SPDAT) is a coordinated assessment tool in use by hundreds of communities across the country.  It brings together two pre-existing tools.  The Vulnerability Index is </w:t>
      </w:r>
      <w:r w:rsidR="00143203" w:rsidRPr="008A2804">
        <w:rPr>
          <w:rFonts w:ascii="Calibri" w:hAnsi="Calibri"/>
          <w:color w:val="1A1A1A"/>
          <w:lang w:val="en"/>
        </w:rPr>
        <w:t>rooted</w:t>
      </w:r>
      <w:r w:rsidRPr="008A2804">
        <w:rPr>
          <w:rFonts w:ascii="Calibri" w:hAnsi="Calibri"/>
          <w:color w:val="1A1A1A"/>
          <w:lang w:val="en"/>
        </w:rPr>
        <w:t xml:space="preserve"> in leading medical research</w:t>
      </w:r>
      <w:r w:rsidRPr="008A2804">
        <w:rPr>
          <w:rFonts w:ascii="Calibri" w:hAnsi="Calibri"/>
          <w:color w:val="1A1A1A"/>
          <w:lang w:val="en"/>
        </w:rPr>
        <w:t xml:space="preserve"> and</w:t>
      </w:r>
      <w:r w:rsidRPr="008A2804">
        <w:rPr>
          <w:rFonts w:ascii="Calibri" w:hAnsi="Calibri"/>
          <w:color w:val="1A1A1A"/>
          <w:lang w:val="en"/>
        </w:rPr>
        <w:t xml:space="preserve"> helps determine the chronicity and medical vulnerability of homeless individuals. The Service Prioritization Decision Assistance Tool (SPDAT) is an intake and case management tool </w:t>
      </w:r>
      <w:r>
        <w:rPr>
          <w:rFonts w:ascii="Calibri" w:hAnsi="Calibri"/>
          <w:color w:val="1A1A1A"/>
          <w:lang w:val="en"/>
        </w:rPr>
        <w:t>b</w:t>
      </w:r>
      <w:r w:rsidRPr="008A2804">
        <w:rPr>
          <w:rFonts w:ascii="Calibri" w:hAnsi="Calibri"/>
          <w:color w:val="1A1A1A"/>
          <w:lang w:val="en"/>
        </w:rPr>
        <w:t>ased on a wide body of social science research and extensive field testing</w:t>
      </w:r>
      <w:r>
        <w:rPr>
          <w:rFonts w:ascii="Calibri" w:hAnsi="Calibri"/>
          <w:color w:val="1A1A1A"/>
          <w:lang w:val="en"/>
        </w:rPr>
        <w:t>.  The VI-SPDAT was a key tool used by the 100,000 Homes campaign, which recently met its goal of housing 100,000 chronically homeless individuals.</w:t>
      </w:r>
    </w:p>
    <w:p w:rsidR="008F0D25" w:rsidRPr="008F0D25" w:rsidRDefault="008F0D25" w:rsidP="008F0D25">
      <w:pPr>
        <w:pStyle w:val="Heading2"/>
        <w:rPr>
          <w:rFonts w:ascii="Calibri" w:hAnsi="Calibri"/>
          <w:color w:val="242852" w:themeColor="text2"/>
          <w:sz w:val="28"/>
          <w:szCs w:val="28"/>
        </w:rPr>
      </w:pPr>
      <w:r w:rsidRPr="008F0D25">
        <w:rPr>
          <w:rFonts w:ascii="Calibri" w:hAnsi="Calibri"/>
          <w:color w:val="242852" w:themeColor="text2"/>
          <w:sz w:val="28"/>
          <w:szCs w:val="28"/>
        </w:rPr>
        <w:t>Wh</w:t>
      </w:r>
      <w:r>
        <w:rPr>
          <w:rFonts w:ascii="Calibri" w:hAnsi="Calibri"/>
          <w:color w:val="242852" w:themeColor="text2"/>
          <w:sz w:val="28"/>
          <w:szCs w:val="28"/>
        </w:rPr>
        <w:t>y Should We Choose the VI-SPDAT As Our Coordinated Assessment Tool?</w:t>
      </w:r>
    </w:p>
    <w:p w:rsidR="00547A40" w:rsidRPr="00547A40" w:rsidRDefault="008F0D25" w:rsidP="00547A40">
      <w:pPr>
        <w:jc w:val="both"/>
        <w:rPr>
          <w:rFonts w:ascii="Calibri" w:hAnsi="Calibri"/>
        </w:rPr>
      </w:pPr>
      <w:r w:rsidRPr="008F0D25">
        <w:rPr>
          <w:rFonts w:ascii="Calibri" w:hAnsi="Calibri"/>
        </w:rPr>
        <w:t xml:space="preserve">Communities around the country are struggling to implement coordinated assessment and a number are creating new tools.  Based on our </w:t>
      </w:r>
      <w:r>
        <w:rPr>
          <w:rFonts w:ascii="Calibri" w:hAnsi="Calibri"/>
        </w:rPr>
        <w:t xml:space="preserve">CoC’s </w:t>
      </w:r>
      <w:r w:rsidRPr="008F0D25">
        <w:rPr>
          <w:rFonts w:ascii="Calibri" w:hAnsi="Calibri"/>
        </w:rPr>
        <w:t xml:space="preserve">research, the VI-SPDAT </w:t>
      </w:r>
      <w:r>
        <w:rPr>
          <w:rFonts w:ascii="Calibri" w:hAnsi="Calibri"/>
        </w:rPr>
        <w:t>appears to be the only widely-used tool created based on research and extensively field-tested. Locally, Friends of the Homelessness and Eliot have piloted the VI-SPDAT and found that the tool’s assessment is reliable—that is, it tends to document what they see as a person’s needs. At this time, the VI-SPDAT appears to be the best tool available and is mentioned by HUD as meeting CoC requirements.</w:t>
      </w:r>
    </w:p>
    <w:sectPr w:rsidR="00547A40" w:rsidRPr="00547A40" w:rsidSect="00744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3C"/>
    <w:rsid w:val="00143203"/>
    <w:rsid w:val="00296467"/>
    <w:rsid w:val="005106CB"/>
    <w:rsid w:val="00547A40"/>
    <w:rsid w:val="00596848"/>
    <w:rsid w:val="0068603F"/>
    <w:rsid w:val="0074485B"/>
    <w:rsid w:val="008A2804"/>
    <w:rsid w:val="008F0D25"/>
    <w:rsid w:val="0090088A"/>
    <w:rsid w:val="00AF443C"/>
    <w:rsid w:val="00C24765"/>
    <w:rsid w:val="00D513C3"/>
    <w:rsid w:val="00EC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08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443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7A40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7A40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088A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styleId="BookTitle">
    <w:name w:val="Book Title"/>
    <w:basedOn w:val="DefaultParagraphFont"/>
    <w:uiPriority w:val="33"/>
    <w:qFormat/>
    <w:rsid w:val="0090088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08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443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7A40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7A40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088A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styleId="BookTitle">
    <w:name w:val="Book Title"/>
    <w:basedOn w:val="DefaultParagraphFont"/>
    <w:uiPriority w:val="33"/>
    <w:qFormat/>
    <w:rsid w:val="0090088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McCafferty, Gerry</dc:creator>
  <cp:lastModifiedBy>McCafferty, Gerry</cp:lastModifiedBy>
  <cp:revision>3</cp:revision>
  <dcterms:created xsi:type="dcterms:W3CDTF">2014-09-18T21:12:00Z</dcterms:created>
  <dcterms:modified xsi:type="dcterms:W3CDTF">2014-09-18T21:12:00Z</dcterms:modified>
</cp:coreProperties>
</file>