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4CA" w:rsidRPr="003264CA" w:rsidRDefault="004B5CF6" w:rsidP="003264CA">
      <w:pPr>
        <w:rPr>
          <w:rFonts w:cs="Arial"/>
          <w:sz w:val="20"/>
        </w:rPr>
      </w:pPr>
      <w:r>
        <w:rPr>
          <w:rFonts w:ascii="Times New Roman" w:hAnsi="Times New Roman"/>
          <w:b/>
          <w:i/>
          <w:noProof/>
          <w:sz w:val="20"/>
        </w:rPr>
        <w:drawing>
          <wp:anchor distT="0" distB="0" distL="0" distR="0" simplePos="0" relativeHeight="251657728" behindDoc="0" locked="0" layoutInCell="1" allowOverlap="1">
            <wp:simplePos x="0" y="0"/>
            <wp:positionH relativeFrom="margin">
              <wp:posOffset>1651635</wp:posOffset>
            </wp:positionH>
            <wp:positionV relativeFrom="page">
              <wp:posOffset>574040</wp:posOffset>
            </wp:positionV>
            <wp:extent cx="5267325" cy="2228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038" r="-8298"/>
                    <a:stretch>
                      <a:fillRect/>
                    </a:stretch>
                  </pic:blipFill>
                  <pic:spPr bwMode="auto">
                    <a:xfrm>
                      <a:off x="0" y="0"/>
                      <a:ext cx="5267325"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64CA" w:rsidRPr="003264CA" w:rsidRDefault="003264CA" w:rsidP="003264CA">
      <w:pPr>
        <w:rPr>
          <w:rFonts w:cs="Arial"/>
          <w:sz w:val="20"/>
        </w:rPr>
      </w:pPr>
    </w:p>
    <w:p w:rsidR="003264CA" w:rsidRPr="003264CA" w:rsidRDefault="003264CA" w:rsidP="003264CA">
      <w:pPr>
        <w:rPr>
          <w:rFonts w:ascii="Times New Roman" w:hAnsi="Times New Roman"/>
          <w:b/>
          <w:i/>
          <w:sz w:val="20"/>
        </w:rPr>
      </w:pPr>
    </w:p>
    <w:p w:rsidR="003264CA" w:rsidRPr="003264CA" w:rsidRDefault="003264CA" w:rsidP="003264CA">
      <w:pPr>
        <w:rPr>
          <w:rFonts w:ascii="Times New Roman" w:hAnsi="Times New Roman"/>
          <w:b/>
          <w:i/>
          <w:sz w:val="20"/>
        </w:rPr>
      </w:pPr>
    </w:p>
    <w:p w:rsidR="003264CA" w:rsidRPr="003264CA" w:rsidRDefault="003264CA" w:rsidP="003264CA">
      <w:pPr>
        <w:rPr>
          <w:rFonts w:ascii="Times New Roman" w:hAnsi="Times New Roman"/>
          <w:b/>
          <w:i/>
          <w:sz w:val="20"/>
        </w:rPr>
      </w:pPr>
      <w:r w:rsidRPr="003264CA">
        <w:rPr>
          <w:rFonts w:ascii="Times New Roman" w:hAnsi="Times New Roman"/>
          <w:b/>
          <w:i/>
          <w:sz w:val="20"/>
        </w:rPr>
        <w:t xml:space="preserve">OFFICE OF HOUSING </w:t>
      </w:r>
    </w:p>
    <w:p w:rsidR="003264CA" w:rsidRPr="003264CA" w:rsidRDefault="003264CA" w:rsidP="003264CA">
      <w:pPr>
        <w:rPr>
          <w:rFonts w:ascii="Times New Roman" w:hAnsi="Times New Roman"/>
          <w:sz w:val="20"/>
        </w:rPr>
      </w:pPr>
      <w:r w:rsidRPr="003264CA">
        <w:rPr>
          <w:rFonts w:ascii="Times New Roman" w:hAnsi="Times New Roman"/>
          <w:sz w:val="20"/>
        </w:rPr>
        <w:t>1600 E. Columbus Ave.</w:t>
      </w:r>
    </w:p>
    <w:p w:rsidR="003264CA" w:rsidRPr="003264CA" w:rsidRDefault="003264CA" w:rsidP="003264CA">
      <w:pPr>
        <w:rPr>
          <w:rFonts w:ascii="Times New Roman" w:hAnsi="Times New Roman"/>
          <w:sz w:val="20"/>
        </w:rPr>
      </w:pPr>
      <w:r w:rsidRPr="003264CA">
        <w:rPr>
          <w:rFonts w:ascii="Times New Roman" w:hAnsi="Times New Roman"/>
          <w:sz w:val="20"/>
        </w:rPr>
        <w:t>SPRINGFIELD, MA  01103</w:t>
      </w:r>
    </w:p>
    <w:p w:rsidR="003264CA" w:rsidRPr="003264CA" w:rsidRDefault="003264CA" w:rsidP="003264CA">
      <w:pPr>
        <w:rPr>
          <w:rFonts w:ascii="Times New Roman" w:hAnsi="Times New Roman"/>
          <w:sz w:val="20"/>
        </w:rPr>
      </w:pPr>
      <w:r w:rsidRPr="003264CA">
        <w:rPr>
          <w:rFonts w:ascii="Times New Roman" w:hAnsi="Times New Roman"/>
          <w:sz w:val="20"/>
        </w:rPr>
        <w:t>(413) 787-6500</w:t>
      </w:r>
    </w:p>
    <w:p w:rsidR="003264CA" w:rsidRPr="003264CA" w:rsidRDefault="003264CA" w:rsidP="003264CA">
      <w:pPr>
        <w:jc w:val="center"/>
        <w:rPr>
          <w:rFonts w:ascii="Times New Roman" w:hAnsi="Times New Roman"/>
          <w:b/>
          <w:i/>
          <w:sz w:val="20"/>
        </w:rPr>
      </w:pPr>
    </w:p>
    <w:p w:rsidR="003264CA" w:rsidRPr="003264CA" w:rsidRDefault="003264CA" w:rsidP="003264CA">
      <w:pPr>
        <w:jc w:val="center"/>
        <w:rPr>
          <w:rFonts w:ascii="Times New Roman" w:hAnsi="Times New Roman"/>
          <w:sz w:val="28"/>
          <w:szCs w:val="28"/>
        </w:rPr>
      </w:pPr>
    </w:p>
    <w:p w:rsidR="003264CA" w:rsidRPr="003264CA" w:rsidRDefault="003264CA" w:rsidP="003264CA">
      <w:pPr>
        <w:jc w:val="center"/>
        <w:rPr>
          <w:rFonts w:ascii="Times New Roman" w:hAnsi="Times New Roman"/>
          <w:b/>
          <w:i/>
          <w:sz w:val="28"/>
          <w:szCs w:val="28"/>
        </w:rPr>
      </w:pPr>
    </w:p>
    <w:p w:rsidR="003264CA" w:rsidRPr="003264CA" w:rsidRDefault="003264CA" w:rsidP="003264CA">
      <w:pPr>
        <w:jc w:val="center"/>
        <w:rPr>
          <w:rFonts w:cs="Arial"/>
          <w:b/>
          <w:sz w:val="28"/>
          <w:szCs w:val="28"/>
        </w:rPr>
      </w:pPr>
    </w:p>
    <w:p w:rsidR="003264CA" w:rsidRPr="003264CA" w:rsidRDefault="003264CA" w:rsidP="003264CA">
      <w:pPr>
        <w:jc w:val="center"/>
        <w:rPr>
          <w:rFonts w:cs="Arial"/>
          <w:b/>
          <w:sz w:val="28"/>
          <w:szCs w:val="28"/>
        </w:rPr>
      </w:pPr>
    </w:p>
    <w:p w:rsidR="003264CA" w:rsidRPr="003264CA" w:rsidRDefault="003264CA" w:rsidP="003264CA">
      <w:pPr>
        <w:jc w:val="center"/>
        <w:rPr>
          <w:rFonts w:ascii="Calibri" w:hAnsi="Calibri" w:cs="Arial"/>
          <w:b/>
          <w:sz w:val="28"/>
          <w:szCs w:val="28"/>
        </w:rPr>
      </w:pPr>
      <w:r w:rsidRPr="003264CA">
        <w:rPr>
          <w:rFonts w:ascii="Calibri" w:hAnsi="Calibri" w:cs="Arial"/>
          <w:b/>
          <w:sz w:val="28"/>
          <w:szCs w:val="28"/>
        </w:rPr>
        <w:t>SPRINGFIELD, MASSACHUSETTS</w:t>
      </w:r>
    </w:p>
    <w:p w:rsidR="003264CA" w:rsidRPr="003264CA" w:rsidRDefault="003264CA" w:rsidP="003264CA">
      <w:pPr>
        <w:jc w:val="center"/>
        <w:rPr>
          <w:rFonts w:ascii="Calibri" w:hAnsi="Calibri" w:cs="Arial"/>
          <w:sz w:val="28"/>
          <w:szCs w:val="28"/>
        </w:rPr>
      </w:pPr>
      <w:r w:rsidRPr="003264CA">
        <w:rPr>
          <w:rFonts w:ascii="Calibri" w:hAnsi="Calibri" w:cs="Arial"/>
          <w:sz w:val="28"/>
          <w:szCs w:val="28"/>
        </w:rPr>
        <w:t>OFFICE OF HOUSING</w:t>
      </w:r>
    </w:p>
    <w:p w:rsidR="003264CA" w:rsidRPr="003264CA" w:rsidRDefault="003264CA" w:rsidP="003264CA">
      <w:pPr>
        <w:jc w:val="center"/>
        <w:rPr>
          <w:rFonts w:ascii="Calibri" w:hAnsi="Calibri" w:cs="Arial"/>
          <w:b/>
          <w:sz w:val="28"/>
          <w:szCs w:val="28"/>
        </w:rPr>
      </w:pPr>
    </w:p>
    <w:p w:rsidR="003264CA" w:rsidRPr="003264CA" w:rsidRDefault="003264CA" w:rsidP="003264CA">
      <w:pPr>
        <w:jc w:val="center"/>
        <w:rPr>
          <w:rFonts w:ascii="Calibri" w:hAnsi="Calibri" w:cs="Arial"/>
          <w:b/>
          <w:sz w:val="28"/>
          <w:szCs w:val="28"/>
        </w:rPr>
      </w:pPr>
    </w:p>
    <w:p w:rsidR="003264CA" w:rsidRPr="003264CA" w:rsidRDefault="003264CA" w:rsidP="003264CA">
      <w:pPr>
        <w:jc w:val="center"/>
        <w:rPr>
          <w:rFonts w:ascii="Calibri" w:hAnsi="Calibri" w:cs="Arial"/>
          <w:b/>
          <w:sz w:val="28"/>
          <w:szCs w:val="28"/>
        </w:rPr>
      </w:pPr>
    </w:p>
    <w:p w:rsidR="003264CA" w:rsidRPr="003264CA" w:rsidRDefault="003264CA" w:rsidP="003264CA">
      <w:pPr>
        <w:jc w:val="center"/>
        <w:rPr>
          <w:rFonts w:ascii="Calibri" w:hAnsi="Calibri" w:cs="Arial"/>
          <w:b/>
          <w:sz w:val="40"/>
          <w:szCs w:val="40"/>
        </w:rPr>
      </w:pPr>
      <w:r w:rsidRPr="003264CA">
        <w:rPr>
          <w:rFonts w:ascii="Calibri" w:hAnsi="Calibri" w:cs="Arial"/>
          <w:b/>
          <w:sz w:val="40"/>
          <w:szCs w:val="40"/>
        </w:rPr>
        <w:t>Request for Proposals</w:t>
      </w:r>
    </w:p>
    <w:p w:rsidR="003264CA" w:rsidRPr="003264CA" w:rsidRDefault="003264CA" w:rsidP="003264CA">
      <w:pPr>
        <w:jc w:val="center"/>
        <w:rPr>
          <w:rFonts w:ascii="Calibri" w:hAnsi="Calibri" w:cs="Arial"/>
          <w:b/>
          <w:sz w:val="32"/>
          <w:szCs w:val="32"/>
        </w:rPr>
      </w:pPr>
    </w:p>
    <w:p w:rsidR="003264CA" w:rsidRPr="003264CA" w:rsidRDefault="003264CA" w:rsidP="003264CA">
      <w:pPr>
        <w:jc w:val="center"/>
        <w:rPr>
          <w:rFonts w:ascii="Calibri" w:hAnsi="Calibri" w:cs="Arial"/>
          <w:b/>
          <w:sz w:val="48"/>
          <w:szCs w:val="48"/>
        </w:rPr>
      </w:pPr>
      <w:r w:rsidRPr="003264CA">
        <w:rPr>
          <w:rFonts w:ascii="Calibri" w:hAnsi="Calibri" w:cs="Arial"/>
          <w:b/>
          <w:sz w:val="48"/>
          <w:szCs w:val="48"/>
        </w:rPr>
        <w:t>EMERGENCY SOLUTIONS GRANT (ESG) PROGRAM FUNDS</w:t>
      </w:r>
    </w:p>
    <w:p w:rsidR="003264CA" w:rsidRPr="003264CA" w:rsidRDefault="003264CA" w:rsidP="003264CA">
      <w:pPr>
        <w:jc w:val="center"/>
        <w:rPr>
          <w:rFonts w:ascii="Calibri" w:hAnsi="Calibri" w:cs="Arial"/>
          <w:b/>
          <w:sz w:val="36"/>
          <w:szCs w:val="36"/>
        </w:rPr>
      </w:pPr>
    </w:p>
    <w:p w:rsidR="003264CA" w:rsidRPr="003264CA" w:rsidRDefault="003264CA" w:rsidP="003264CA">
      <w:pPr>
        <w:jc w:val="center"/>
        <w:rPr>
          <w:rFonts w:ascii="Calibri" w:hAnsi="Calibri" w:cs="Arial"/>
          <w:sz w:val="36"/>
          <w:szCs w:val="36"/>
        </w:rPr>
      </w:pPr>
      <w:r w:rsidRPr="003264CA">
        <w:rPr>
          <w:rFonts w:ascii="Calibri" w:hAnsi="Calibri" w:cs="Arial"/>
          <w:sz w:val="28"/>
          <w:szCs w:val="28"/>
        </w:rPr>
        <w:t>FOR PROGRAM YEAR:  JULY 1, 201</w:t>
      </w:r>
      <w:r w:rsidR="00F651BD">
        <w:rPr>
          <w:rFonts w:ascii="Calibri" w:hAnsi="Calibri" w:cs="Arial"/>
          <w:sz w:val="28"/>
          <w:szCs w:val="28"/>
        </w:rPr>
        <w:t>5</w:t>
      </w:r>
      <w:r w:rsidRPr="003264CA">
        <w:rPr>
          <w:rFonts w:ascii="Calibri" w:hAnsi="Calibri" w:cs="Arial"/>
          <w:sz w:val="28"/>
          <w:szCs w:val="28"/>
        </w:rPr>
        <w:t>-JUNE 30, 201</w:t>
      </w:r>
      <w:r w:rsidR="00F651BD">
        <w:rPr>
          <w:rFonts w:ascii="Calibri" w:hAnsi="Calibri" w:cs="Arial"/>
          <w:sz w:val="28"/>
          <w:szCs w:val="28"/>
        </w:rPr>
        <w:t>6</w:t>
      </w:r>
    </w:p>
    <w:p w:rsidR="003264CA" w:rsidRPr="003264CA" w:rsidRDefault="003264CA" w:rsidP="003264CA">
      <w:pPr>
        <w:jc w:val="center"/>
        <w:rPr>
          <w:rFonts w:ascii="Calibri" w:hAnsi="Calibri" w:cs="Arial"/>
          <w:b/>
          <w:sz w:val="28"/>
          <w:szCs w:val="28"/>
        </w:rPr>
      </w:pPr>
    </w:p>
    <w:p w:rsidR="003264CA" w:rsidRPr="003264CA" w:rsidRDefault="003264CA" w:rsidP="003264CA">
      <w:pPr>
        <w:jc w:val="center"/>
        <w:rPr>
          <w:rFonts w:ascii="Calibri" w:hAnsi="Calibri" w:cs="Arial"/>
          <w:b/>
          <w:sz w:val="28"/>
          <w:szCs w:val="28"/>
        </w:rPr>
      </w:pPr>
    </w:p>
    <w:p w:rsidR="003264CA" w:rsidRPr="003264CA" w:rsidRDefault="003264CA" w:rsidP="003264CA">
      <w:pPr>
        <w:jc w:val="center"/>
        <w:rPr>
          <w:rFonts w:ascii="Calibri" w:hAnsi="Calibri" w:cs="Arial"/>
          <w:b/>
          <w:sz w:val="28"/>
          <w:szCs w:val="28"/>
        </w:rPr>
      </w:pPr>
    </w:p>
    <w:p w:rsidR="003264CA" w:rsidRDefault="003264CA" w:rsidP="003264CA">
      <w:pPr>
        <w:jc w:val="center"/>
        <w:rPr>
          <w:rFonts w:ascii="Calibri" w:hAnsi="Calibri" w:cs="Arial"/>
          <w:sz w:val="28"/>
          <w:szCs w:val="28"/>
        </w:rPr>
      </w:pPr>
      <w:r w:rsidRPr="003264CA">
        <w:rPr>
          <w:rFonts w:ascii="Calibri" w:hAnsi="Calibri" w:cs="Arial"/>
          <w:sz w:val="28"/>
          <w:szCs w:val="28"/>
        </w:rPr>
        <w:t xml:space="preserve">RELEASED:  </w:t>
      </w:r>
      <w:r w:rsidR="00F651BD">
        <w:rPr>
          <w:rFonts w:ascii="Calibri" w:hAnsi="Calibri" w:cs="Arial"/>
          <w:sz w:val="28"/>
          <w:szCs w:val="28"/>
        </w:rPr>
        <w:t>MARCH</w:t>
      </w:r>
      <w:r w:rsidR="00E06629">
        <w:rPr>
          <w:rFonts w:ascii="Calibri" w:hAnsi="Calibri" w:cs="Arial"/>
          <w:sz w:val="28"/>
          <w:szCs w:val="28"/>
        </w:rPr>
        <w:t xml:space="preserve"> 19</w:t>
      </w:r>
      <w:r w:rsidRPr="003264CA">
        <w:rPr>
          <w:rFonts w:ascii="Calibri" w:hAnsi="Calibri" w:cs="Arial"/>
          <w:sz w:val="28"/>
          <w:szCs w:val="28"/>
        </w:rPr>
        <w:t>, 201</w:t>
      </w:r>
      <w:r w:rsidR="00F651BD">
        <w:rPr>
          <w:rFonts w:ascii="Calibri" w:hAnsi="Calibri" w:cs="Arial"/>
          <w:sz w:val="28"/>
          <w:szCs w:val="28"/>
        </w:rPr>
        <w:t>5</w:t>
      </w:r>
    </w:p>
    <w:p w:rsidR="00F651BD" w:rsidRPr="003264CA" w:rsidRDefault="00F651BD" w:rsidP="003264CA">
      <w:pPr>
        <w:jc w:val="center"/>
        <w:rPr>
          <w:rFonts w:ascii="Calibri" w:hAnsi="Calibri" w:cs="Arial"/>
          <w:sz w:val="28"/>
          <w:szCs w:val="28"/>
        </w:rPr>
      </w:pPr>
      <w:r>
        <w:rPr>
          <w:rFonts w:ascii="Calibri" w:hAnsi="Calibri" w:cs="Arial"/>
          <w:sz w:val="28"/>
          <w:szCs w:val="28"/>
        </w:rPr>
        <w:t>BIDDERS’ CONFERENCE: APRIL 1, 2015 10:00 AM</w:t>
      </w:r>
    </w:p>
    <w:p w:rsidR="003264CA" w:rsidRPr="003264CA" w:rsidRDefault="003264CA" w:rsidP="003264CA">
      <w:pPr>
        <w:jc w:val="center"/>
        <w:rPr>
          <w:rFonts w:ascii="Calibri" w:hAnsi="Calibri" w:cs="Arial"/>
          <w:sz w:val="28"/>
          <w:szCs w:val="28"/>
        </w:rPr>
      </w:pPr>
    </w:p>
    <w:p w:rsidR="003264CA" w:rsidRPr="003264CA" w:rsidRDefault="003264CA" w:rsidP="003264CA">
      <w:pPr>
        <w:jc w:val="center"/>
        <w:rPr>
          <w:rFonts w:ascii="Calibri" w:hAnsi="Calibri" w:cs="Arial"/>
          <w:sz w:val="28"/>
          <w:szCs w:val="28"/>
        </w:rPr>
      </w:pPr>
    </w:p>
    <w:p w:rsidR="003264CA" w:rsidRPr="003264CA" w:rsidRDefault="003264CA" w:rsidP="003264CA">
      <w:pPr>
        <w:jc w:val="center"/>
        <w:rPr>
          <w:rFonts w:ascii="Calibri" w:hAnsi="Calibri" w:cs="Arial"/>
          <w:sz w:val="28"/>
          <w:szCs w:val="28"/>
        </w:rPr>
      </w:pPr>
      <w:r w:rsidRPr="003264CA">
        <w:rPr>
          <w:rFonts w:ascii="Calibri" w:hAnsi="Calibri" w:cs="Arial"/>
          <w:sz w:val="28"/>
          <w:szCs w:val="28"/>
        </w:rPr>
        <w:t>PROPOSALS MUST BE RECEIVED BY</w:t>
      </w:r>
    </w:p>
    <w:p w:rsidR="003264CA" w:rsidRPr="003264CA" w:rsidRDefault="00F651BD" w:rsidP="003264CA">
      <w:pPr>
        <w:jc w:val="center"/>
        <w:rPr>
          <w:rFonts w:ascii="Calibri" w:hAnsi="Calibri" w:cs="Arial"/>
          <w:sz w:val="28"/>
          <w:szCs w:val="28"/>
        </w:rPr>
      </w:pPr>
      <w:r>
        <w:rPr>
          <w:rFonts w:ascii="Calibri" w:hAnsi="Calibri" w:cs="Arial"/>
          <w:sz w:val="28"/>
          <w:szCs w:val="28"/>
        </w:rPr>
        <w:t>WEDNESDAY</w:t>
      </w:r>
      <w:r w:rsidR="003264CA" w:rsidRPr="003264CA">
        <w:rPr>
          <w:rFonts w:ascii="Calibri" w:hAnsi="Calibri" w:cs="Arial"/>
          <w:sz w:val="28"/>
          <w:szCs w:val="28"/>
        </w:rPr>
        <w:t xml:space="preserve">, </w:t>
      </w:r>
      <w:r>
        <w:rPr>
          <w:rFonts w:ascii="Calibri" w:hAnsi="Calibri" w:cs="Arial"/>
          <w:sz w:val="28"/>
          <w:szCs w:val="28"/>
        </w:rPr>
        <w:t>APRIL</w:t>
      </w:r>
      <w:r w:rsidR="003264CA" w:rsidRPr="003264CA">
        <w:rPr>
          <w:rFonts w:ascii="Calibri" w:hAnsi="Calibri" w:cs="Arial"/>
          <w:sz w:val="28"/>
          <w:szCs w:val="28"/>
        </w:rPr>
        <w:t xml:space="preserve"> 1</w:t>
      </w:r>
      <w:r w:rsidR="00E06629">
        <w:rPr>
          <w:rFonts w:ascii="Calibri" w:hAnsi="Calibri" w:cs="Arial"/>
          <w:sz w:val="28"/>
          <w:szCs w:val="28"/>
        </w:rPr>
        <w:t>6</w:t>
      </w:r>
      <w:r w:rsidR="003264CA" w:rsidRPr="003264CA">
        <w:rPr>
          <w:rFonts w:ascii="Calibri" w:hAnsi="Calibri" w:cs="Arial"/>
          <w:sz w:val="28"/>
          <w:szCs w:val="28"/>
        </w:rPr>
        <w:t>, 201</w:t>
      </w:r>
      <w:r>
        <w:rPr>
          <w:rFonts w:ascii="Calibri" w:hAnsi="Calibri" w:cs="Arial"/>
          <w:sz w:val="28"/>
          <w:szCs w:val="28"/>
        </w:rPr>
        <w:t>5</w:t>
      </w:r>
    </w:p>
    <w:p w:rsidR="003264CA" w:rsidRPr="003264CA" w:rsidRDefault="00F651BD" w:rsidP="003264CA">
      <w:pPr>
        <w:jc w:val="center"/>
        <w:rPr>
          <w:rFonts w:ascii="Calibri" w:hAnsi="Calibri" w:cs="Arial"/>
          <w:sz w:val="28"/>
          <w:szCs w:val="28"/>
        </w:rPr>
      </w:pPr>
      <w:r>
        <w:rPr>
          <w:rFonts w:ascii="Calibri" w:hAnsi="Calibri" w:cs="Arial"/>
          <w:sz w:val="28"/>
          <w:szCs w:val="28"/>
        </w:rPr>
        <w:t>4</w:t>
      </w:r>
      <w:r w:rsidR="003264CA" w:rsidRPr="003264CA">
        <w:rPr>
          <w:rFonts w:ascii="Calibri" w:hAnsi="Calibri" w:cs="Arial"/>
          <w:sz w:val="28"/>
          <w:szCs w:val="28"/>
        </w:rPr>
        <w:t>:00 PM</w:t>
      </w:r>
    </w:p>
    <w:p w:rsidR="003264CA" w:rsidRPr="003264CA" w:rsidRDefault="003264CA" w:rsidP="003264CA">
      <w:pPr>
        <w:jc w:val="center"/>
        <w:rPr>
          <w:rFonts w:cs="Arial"/>
          <w:sz w:val="28"/>
          <w:szCs w:val="28"/>
        </w:rPr>
      </w:pPr>
    </w:p>
    <w:p w:rsidR="003264CA" w:rsidRPr="003264CA" w:rsidRDefault="003264CA" w:rsidP="003264CA">
      <w:pPr>
        <w:jc w:val="center"/>
        <w:rPr>
          <w:rFonts w:cs="Arial"/>
          <w:sz w:val="28"/>
          <w:szCs w:val="28"/>
        </w:rPr>
      </w:pPr>
    </w:p>
    <w:p w:rsidR="003264CA" w:rsidRPr="003264CA" w:rsidRDefault="003264CA" w:rsidP="003264CA">
      <w:pPr>
        <w:jc w:val="center"/>
        <w:rPr>
          <w:rFonts w:ascii="Calibri" w:hAnsi="Calibri" w:cs="Calibri"/>
          <w:sz w:val="24"/>
          <w:szCs w:val="24"/>
        </w:rPr>
        <w:sectPr w:rsidR="003264CA" w:rsidRPr="003264CA" w:rsidSect="001E6831">
          <w:headerReference w:type="default" r:id="rId9"/>
          <w:footerReference w:type="even" r:id="rId10"/>
          <w:footerReference w:type="default" r:id="rId11"/>
          <w:footerReference w:type="first" r:id="rId12"/>
          <w:pgSz w:w="12240" w:h="15840" w:code="1"/>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noEndnote/>
          <w:docGrid w:linePitch="299"/>
        </w:sectPr>
      </w:pPr>
    </w:p>
    <w:p w:rsidR="003264CA" w:rsidRPr="003264CA" w:rsidRDefault="003264CA" w:rsidP="003264CA">
      <w:pPr>
        <w:jc w:val="center"/>
        <w:rPr>
          <w:rFonts w:cs="Arial"/>
          <w:sz w:val="28"/>
          <w:szCs w:val="28"/>
        </w:rPr>
        <w:sectPr w:rsidR="003264CA" w:rsidRPr="003264CA" w:rsidSect="00F84024">
          <w:type w:val="continuous"/>
          <w:pgSz w:w="12240" w:h="15840" w:code="1"/>
          <w:pgMar w:top="1440" w:right="1440" w:bottom="1440" w:left="1440" w:header="2880" w:footer="1440" w:gutter="0"/>
          <w:pgNumType w:start="0"/>
          <w:cols w:space="720"/>
          <w:noEndnote/>
          <w:titlePg/>
        </w:sectPr>
      </w:pPr>
    </w:p>
    <w:p w:rsidR="003264CA" w:rsidRPr="003264CA" w:rsidRDefault="003264CA" w:rsidP="003264CA">
      <w:pPr>
        <w:jc w:val="center"/>
        <w:rPr>
          <w:rFonts w:ascii="Calibri" w:hAnsi="Calibri" w:cs="Arial"/>
          <w:b/>
          <w:sz w:val="28"/>
          <w:szCs w:val="28"/>
        </w:rPr>
      </w:pPr>
      <w:r w:rsidRPr="003264CA">
        <w:rPr>
          <w:rFonts w:ascii="Calibri" w:hAnsi="Calibri" w:cs="Arial"/>
          <w:b/>
          <w:sz w:val="28"/>
          <w:szCs w:val="28"/>
        </w:rPr>
        <w:lastRenderedPageBreak/>
        <w:t>EMERGENCY SOLUTIONS GRANT PROGRAM</w:t>
      </w:r>
    </w:p>
    <w:p w:rsidR="003264CA" w:rsidRPr="003264CA" w:rsidRDefault="003264CA" w:rsidP="003264CA">
      <w:pPr>
        <w:jc w:val="center"/>
        <w:rPr>
          <w:rFonts w:ascii="Calibri" w:hAnsi="Calibri" w:cs="Arial"/>
          <w:b/>
          <w:sz w:val="28"/>
          <w:szCs w:val="28"/>
        </w:rPr>
      </w:pPr>
      <w:r w:rsidRPr="003264CA">
        <w:rPr>
          <w:rFonts w:ascii="Calibri" w:hAnsi="Calibri" w:cs="Arial"/>
          <w:b/>
          <w:sz w:val="28"/>
          <w:szCs w:val="28"/>
        </w:rPr>
        <w:t>Application Information</w:t>
      </w:r>
    </w:p>
    <w:p w:rsidR="003264CA" w:rsidRPr="003264CA" w:rsidRDefault="003264CA" w:rsidP="003264CA">
      <w:pPr>
        <w:jc w:val="center"/>
        <w:rPr>
          <w:rFonts w:ascii="Calibri" w:hAnsi="Calibri" w:cs="Arial"/>
          <w:b/>
          <w:sz w:val="28"/>
          <w:szCs w:val="28"/>
        </w:rPr>
      </w:pPr>
    </w:p>
    <w:p w:rsidR="003264CA" w:rsidRPr="003264CA" w:rsidRDefault="003264CA" w:rsidP="001E6831">
      <w:pPr>
        <w:spacing w:after="120"/>
        <w:rPr>
          <w:rFonts w:ascii="Calibri" w:hAnsi="Calibri" w:cs="Arial"/>
          <w:sz w:val="24"/>
          <w:szCs w:val="24"/>
          <w:u w:val="single"/>
        </w:rPr>
      </w:pPr>
      <w:r w:rsidRPr="003264CA">
        <w:rPr>
          <w:rFonts w:ascii="Calibri" w:hAnsi="Calibri" w:cs="Arial"/>
          <w:b/>
          <w:sz w:val="24"/>
          <w:szCs w:val="24"/>
          <w:u w:val="single"/>
        </w:rPr>
        <w:t>Introduction</w:t>
      </w:r>
    </w:p>
    <w:p w:rsidR="003264CA" w:rsidRPr="003264CA" w:rsidRDefault="003264CA" w:rsidP="00F651BD">
      <w:pPr>
        <w:jc w:val="both"/>
        <w:rPr>
          <w:rFonts w:ascii="Calibri" w:hAnsi="Calibri" w:cs="Arial"/>
          <w:sz w:val="24"/>
          <w:szCs w:val="24"/>
        </w:rPr>
      </w:pPr>
      <w:r w:rsidRPr="003264CA">
        <w:rPr>
          <w:rFonts w:ascii="Calibri" w:hAnsi="Calibri" w:cs="Arial"/>
          <w:sz w:val="24"/>
          <w:szCs w:val="24"/>
        </w:rPr>
        <w:t>Emergency Solutions Grant (ESG) Program funds received by the City of Springfield from the U.S. Department of Housing and Urban Development (HUD) will support programs aligned with the City’s 10-year plan to end homelessness and the Hampden County Continuum of Care (CoC) strategic plan during the program year running from July 1, 201</w:t>
      </w:r>
      <w:r w:rsidR="00F651BD">
        <w:rPr>
          <w:rFonts w:ascii="Calibri" w:hAnsi="Calibri" w:cs="Arial"/>
          <w:sz w:val="24"/>
          <w:szCs w:val="24"/>
        </w:rPr>
        <w:t>5</w:t>
      </w:r>
      <w:r w:rsidRPr="003264CA">
        <w:rPr>
          <w:rFonts w:ascii="Calibri" w:hAnsi="Calibri" w:cs="Arial"/>
          <w:sz w:val="24"/>
          <w:szCs w:val="24"/>
        </w:rPr>
        <w:t xml:space="preserve"> through June 30, 201</w:t>
      </w:r>
      <w:r w:rsidR="00F651BD">
        <w:rPr>
          <w:rFonts w:ascii="Calibri" w:hAnsi="Calibri" w:cs="Arial"/>
          <w:sz w:val="24"/>
          <w:szCs w:val="24"/>
        </w:rPr>
        <w:t>6</w:t>
      </w:r>
      <w:r w:rsidRPr="003264CA">
        <w:rPr>
          <w:rFonts w:ascii="Calibri" w:hAnsi="Calibri" w:cs="Arial"/>
          <w:sz w:val="24"/>
          <w:szCs w:val="24"/>
        </w:rPr>
        <w:t>.   Springfield’s FY1</w:t>
      </w:r>
      <w:r w:rsidR="00F651BD">
        <w:rPr>
          <w:rFonts w:ascii="Calibri" w:hAnsi="Calibri" w:cs="Arial"/>
          <w:sz w:val="24"/>
          <w:szCs w:val="24"/>
        </w:rPr>
        <w:t xml:space="preserve">5 ESG allocation </w:t>
      </w:r>
      <w:r w:rsidR="00F651BD" w:rsidRPr="00A3435E">
        <w:rPr>
          <w:rFonts w:ascii="Calibri" w:hAnsi="Calibri" w:cs="Arial"/>
          <w:sz w:val="24"/>
          <w:szCs w:val="24"/>
        </w:rPr>
        <w:t xml:space="preserve">is </w:t>
      </w:r>
      <w:r w:rsidR="00F651BD" w:rsidRPr="00A3435E">
        <w:rPr>
          <w:rFonts w:ascii="Calibri" w:hAnsi="Calibri"/>
          <w:color w:val="000000"/>
          <w:sz w:val="24"/>
          <w:szCs w:val="24"/>
        </w:rPr>
        <w:t>$325,972</w:t>
      </w:r>
      <w:r w:rsidRPr="00A3435E">
        <w:rPr>
          <w:rFonts w:ascii="Calibri" w:hAnsi="Calibri" w:cs="Arial"/>
          <w:sz w:val="24"/>
          <w:szCs w:val="24"/>
        </w:rPr>
        <w:t>.</w:t>
      </w:r>
      <w:r w:rsidRPr="003264CA">
        <w:rPr>
          <w:rFonts w:ascii="Calibri" w:hAnsi="Calibri" w:cs="Arial"/>
          <w:sz w:val="24"/>
          <w:szCs w:val="24"/>
        </w:rPr>
        <w:t xml:space="preserve">  </w:t>
      </w:r>
    </w:p>
    <w:p w:rsidR="003264CA" w:rsidRPr="003264CA" w:rsidRDefault="003264CA" w:rsidP="003264CA">
      <w:pPr>
        <w:ind w:left="360"/>
        <w:rPr>
          <w:rFonts w:ascii="Calibri" w:hAnsi="Calibri" w:cs="Arial"/>
          <w:sz w:val="24"/>
          <w:szCs w:val="24"/>
        </w:rPr>
      </w:pPr>
    </w:p>
    <w:p w:rsidR="003264CA" w:rsidRPr="003264CA" w:rsidRDefault="003264CA" w:rsidP="001E6831">
      <w:pPr>
        <w:spacing w:after="120"/>
        <w:rPr>
          <w:rFonts w:ascii="Calibri" w:hAnsi="Calibri" w:cs="Arial"/>
          <w:sz w:val="24"/>
          <w:szCs w:val="24"/>
          <w:u w:val="single"/>
        </w:rPr>
      </w:pPr>
      <w:r w:rsidRPr="003264CA">
        <w:rPr>
          <w:rFonts w:ascii="Calibri" w:hAnsi="Calibri" w:cs="Arial"/>
          <w:b/>
          <w:sz w:val="24"/>
          <w:szCs w:val="24"/>
          <w:u w:val="single"/>
        </w:rPr>
        <w:t>The City of Springfield’s ESG Program Priorities</w:t>
      </w:r>
    </w:p>
    <w:p w:rsidR="003264CA" w:rsidRPr="003264CA" w:rsidRDefault="003264CA" w:rsidP="003264CA">
      <w:pPr>
        <w:spacing w:line="276" w:lineRule="auto"/>
        <w:jc w:val="both"/>
        <w:rPr>
          <w:rFonts w:ascii="Calibri" w:hAnsi="Calibri" w:cs="Arial"/>
          <w:sz w:val="24"/>
          <w:szCs w:val="24"/>
        </w:rPr>
      </w:pPr>
      <w:r w:rsidRPr="003264CA">
        <w:rPr>
          <w:rFonts w:ascii="Calibri" w:hAnsi="Calibri" w:cs="Arial"/>
          <w:sz w:val="24"/>
          <w:szCs w:val="24"/>
        </w:rPr>
        <w:t>Springfield’s FY1</w:t>
      </w:r>
      <w:r w:rsidR="00F651BD">
        <w:rPr>
          <w:rFonts w:ascii="Calibri" w:hAnsi="Calibri" w:cs="Arial"/>
          <w:sz w:val="24"/>
          <w:szCs w:val="24"/>
        </w:rPr>
        <w:t>5</w:t>
      </w:r>
      <w:r w:rsidRPr="003264CA">
        <w:rPr>
          <w:rFonts w:ascii="Calibri" w:hAnsi="Calibri" w:cs="Arial"/>
          <w:sz w:val="24"/>
          <w:szCs w:val="24"/>
        </w:rPr>
        <w:t xml:space="preserve"> ESG priorities include:</w:t>
      </w:r>
    </w:p>
    <w:p w:rsidR="00F651BD" w:rsidRDefault="003264CA" w:rsidP="003264CA">
      <w:pPr>
        <w:numPr>
          <w:ilvl w:val="0"/>
          <w:numId w:val="12"/>
        </w:numPr>
        <w:spacing w:line="276" w:lineRule="auto"/>
        <w:jc w:val="both"/>
        <w:rPr>
          <w:rFonts w:ascii="Calibri" w:hAnsi="Calibri" w:cs="Arial"/>
          <w:sz w:val="24"/>
          <w:szCs w:val="24"/>
        </w:rPr>
      </w:pPr>
      <w:r w:rsidRPr="003264CA">
        <w:rPr>
          <w:rFonts w:ascii="Calibri" w:hAnsi="Calibri" w:cs="Arial"/>
          <w:sz w:val="24"/>
          <w:szCs w:val="24"/>
        </w:rPr>
        <w:t xml:space="preserve">Rapid rehousing services for homeless households; </w:t>
      </w:r>
    </w:p>
    <w:p w:rsidR="00F5029E" w:rsidRDefault="00F5029E" w:rsidP="003264CA">
      <w:pPr>
        <w:numPr>
          <w:ilvl w:val="0"/>
          <w:numId w:val="12"/>
        </w:numPr>
        <w:spacing w:line="276" w:lineRule="auto"/>
        <w:jc w:val="both"/>
        <w:rPr>
          <w:rFonts w:ascii="Calibri" w:hAnsi="Calibri" w:cs="Arial"/>
          <w:sz w:val="24"/>
          <w:szCs w:val="24"/>
        </w:rPr>
      </w:pPr>
      <w:r w:rsidRPr="003264CA">
        <w:rPr>
          <w:rFonts w:ascii="Calibri" w:hAnsi="Calibri" w:cs="Arial"/>
          <w:sz w:val="24"/>
          <w:szCs w:val="24"/>
        </w:rPr>
        <w:t xml:space="preserve">Prevention/diversion for households at </w:t>
      </w:r>
      <w:r w:rsidRPr="003264CA">
        <w:rPr>
          <w:rFonts w:ascii="Calibri" w:hAnsi="Calibri" w:cs="Arial"/>
          <w:i/>
          <w:sz w:val="24"/>
          <w:szCs w:val="24"/>
        </w:rPr>
        <w:t>imminent</w:t>
      </w:r>
      <w:r w:rsidRPr="003264CA">
        <w:rPr>
          <w:rFonts w:ascii="Calibri" w:hAnsi="Calibri" w:cs="Arial"/>
          <w:sz w:val="24"/>
          <w:szCs w:val="24"/>
        </w:rPr>
        <w:t xml:space="preserve"> risk of homelessness;</w:t>
      </w:r>
    </w:p>
    <w:p w:rsidR="003264CA" w:rsidRPr="003264CA" w:rsidRDefault="00F651BD" w:rsidP="003264CA">
      <w:pPr>
        <w:numPr>
          <w:ilvl w:val="0"/>
          <w:numId w:val="12"/>
        </w:numPr>
        <w:spacing w:line="276" w:lineRule="auto"/>
        <w:jc w:val="both"/>
        <w:rPr>
          <w:rFonts w:ascii="Calibri" w:hAnsi="Calibri" w:cs="Arial"/>
          <w:sz w:val="24"/>
          <w:szCs w:val="24"/>
        </w:rPr>
      </w:pPr>
      <w:r>
        <w:rPr>
          <w:rFonts w:ascii="Calibri" w:hAnsi="Calibri" w:cs="Arial"/>
          <w:sz w:val="24"/>
          <w:szCs w:val="24"/>
        </w:rPr>
        <w:t xml:space="preserve">Outreach </w:t>
      </w:r>
      <w:r w:rsidR="001E6831">
        <w:rPr>
          <w:rFonts w:ascii="Calibri" w:hAnsi="Calibri" w:cs="Arial"/>
          <w:sz w:val="24"/>
          <w:szCs w:val="24"/>
        </w:rPr>
        <w:t xml:space="preserve">for the purpose of identifying chronically homeless individuals eligible for existing permanent supportive housing opportunities; </w:t>
      </w:r>
      <w:r w:rsidR="003264CA" w:rsidRPr="003264CA">
        <w:rPr>
          <w:rFonts w:ascii="Calibri" w:hAnsi="Calibri" w:cs="Arial"/>
          <w:sz w:val="24"/>
          <w:szCs w:val="24"/>
        </w:rPr>
        <w:t xml:space="preserve">and </w:t>
      </w:r>
    </w:p>
    <w:p w:rsidR="003264CA" w:rsidRPr="003264CA" w:rsidRDefault="003264CA" w:rsidP="001E6831">
      <w:pPr>
        <w:numPr>
          <w:ilvl w:val="0"/>
          <w:numId w:val="12"/>
        </w:numPr>
        <w:spacing w:after="120" w:line="276" w:lineRule="auto"/>
        <w:jc w:val="both"/>
        <w:rPr>
          <w:rFonts w:ascii="Calibri" w:hAnsi="Calibri" w:cs="Arial"/>
          <w:sz w:val="24"/>
          <w:szCs w:val="24"/>
        </w:rPr>
      </w:pPr>
      <w:r w:rsidRPr="003264CA">
        <w:rPr>
          <w:rFonts w:ascii="Calibri" w:hAnsi="Calibri" w:cs="Arial"/>
          <w:sz w:val="24"/>
          <w:szCs w:val="24"/>
        </w:rPr>
        <w:t>Operating support for established emergency shelter programs.</w:t>
      </w:r>
    </w:p>
    <w:p w:rsidR="003264CA" w:rsidRPr="003264CA" w:rsidRDefault="003264CA" w:rsidP="001E6831">
      <w:pPr>
        <w:spacing w:after="120" w:line="276" w:lineRule="auto"/>
        <w:jc w:val="both"/>
        <w:rPr>
          <w:rFonts w:ascii="Calibri" w:hAnsi="Calibri" w:cs="Arial"/>
          <w:sz w:val="24"/>
          <w:szCs w:val="24"/>
        </w:rPr>
      </w:pPr>
      <w:r w:rsidRPr="003264CA">
        <w:rPr>
          <w:rFonts w:ascii="Calibri" w:hAnsi="Calibri" w:cs="Arial"/>
          <w:sz w:val="24"/>
          <w:szCs w:val="24"/>
        </w:rPr>
        <w:t xml:space="preserve">The City of Springfield is using legislative and HUD guidance governing the ESG program as well as the City of Springfield's priorities for homeless programs and initiatives.  In evaluating program proposals and the program performance of funded projects, the City will collaborate with the Hampden County CoC.  The City will exercise final decision-making authority regarding all proposals submitted for consideration under this RFP. </w:t>
      </w:r>
    </w:p>
    <w:p w:rsidR="003264CA" w:rsidRPr="003264CA" w:rsidRDefault="003264CA" w:rsidP="003264CA">
      <w:pPr>
        <w:spacing w:line="276" w:lineRule="auto"/>
        <w:jc w:val="both"/>
        <w:rPr>
          <w:rFonts w:ascii="Calibri" w:hAnsi="Calibri"/>
          <w:szCs w:val="22"/>
        </w:rPr>
      </w:pPr>
      <w:r w:rsidRPr="003264CA">
        <w:rPr>
          <w:rFonts w:ascii="Calibri" w:hAnsi="Calibri" w:cs="Arial"/>
          <w:sz w:val="24"/>
          <w:szCs w:val="24"/>
        </w:rPr>
        <w:t>HUD guidance makes clear that ESG entitlement funds are to be used to benefit people who live in the entitlement community.  Therefore, please note that these funds must be used to assist households that have a connection to Springfield</w:t>
      </w:r>
      <w:r w:rsidRPr="003264CA">
        <w:rPr>
          <w:rFonts w:ascii="Calibri" w:hAnsi="Calibri"/>
          <w:szCs w:val="22"/>
        </w:rPr>
        <w:t>, which may include:</w:t>
      </w:r>
    </w:p>
    <w:p w:rsidR="003264CA" w:rsidRPr="003264CA" w:rsidRDefault="003264CA" w:rsidP="003264CA">
      <w:pPr>
        <w:numPr>
          <w:ilvl w:val="1"/>
          <w:numId w:val="15"/>
        </w:numPr>
        <w:jc w:val="both"/>
        <w:rPr>
          <w:rFonts w:ascii="Calibri" w:hAnsi="Calibri"/>
          <w:szCs w:val="22"/>
        </w:rPr>
      </w:pPr>
      <w:r w:rsidRPr="003264CA">
        <w:rPr>
          <w:rFonts w:ascii="Calibri" w:hAnsi="Calibri"/>
          <w:szCs w:val="22"/>
        </w:rPr>
        <w:t>Currently homeless in Springfield;</w:t>
      </w:r>
    </w:p>
    <w:p w:rsidR="003264CA" w:rsidRPr="003264CA" w:rsidRDefault="003264CA" w:rsidP="003264CA">
      <w:pPr>
        <w:numPr>
          <w:ilvl w:val="1"/>
          <w:numId w:val="15"/>
        </w:numPr>
        <w:jc w:val="both"/>
        <w:rPr>
          <w:rFonts w:ascii="Calibri" w:hAnsi="Calibri"/>
          <w:szCs w:val="22"/>
        </w:rPr>
      </w:pPr>
      <w:r w:rsidRPr="003264CA">
        <w:rPr>
          <w:rFonts w:ascii="Calibri" w:hAnsi="Calibri"/>
          <w:szCs w:val="22"/>
        </w:rPr>
        <w:t>Employed in Springfield; or</w:t>
      </w:r>
    </w:p>
    <w:p w:rsidR="003264CA" w:rsidRPr="003264CA" w:rsidRDefault="003264CA" w:rsidP="003264CA">
      <w:pPr>
        <w:numPr>
          <w:ilvl w:val="1"/>
          <w:numId w:val="15"/>
        </w:numPr>
        <w:jc w:val="both"/>
        <w:rPr>
          <w:rFonts w:ascii="Calibri" w:hAnsi="Calibri"/>
          <w:szCs w:val="22"/>
        </w:rPr>
      </w:pPr>
      <w:r w:rsidRPr="003264CA">
        <w:rPr>
          <w:rFonts w:ascii="Calibri" w:hAnsi="Calibri"/>
          <w:szCs w:val="22"/>
        </w:rPr>
        <w:t>Using rapid rehousing funds to move into housing located in Springfield.</w:t>
      </w:r>
    </w:p>
    <w:p w:rsidR="003264CA" w:rsidRPr="003264CA" w:rsidRDefault="003264CA" w:rsidP="003264CA">
      <w:pPr>
        <w:ind w:left="1800"/>
        <w:jc w:val="both"/>
        <w:rPr>
          <w:rFonts w:ascii="Calibri" w:hAnsi="Calibri"/>
          <w:szCs w:val="22"/>
        </w:rPr>
      </w:pPr>
    </w:p>
    <w:p w:rsidR="003264CA" w:rsidRPr="003264CA" w:rsidRDefault="003264CA" w:rsidP="001E6831">
      <w:pPr>
        <w:spacing w:after="120"/>
        <w:jc w:val="both"/>
        <w:rPr>
          <w:rFonts w:ascii="Calibri" w:hAnsi="Calibri" w:cs="Arial"/>
          <w:b/>
          <w:sz w:val="24"/>
          <w:szCs w:val="24"/>
          <w:u w:val="single"/>
        </w:rPr>
      </w:pPr>
      <w:r w:rsidRPr="003264CA">
        <w:rPr>
          <w:rFonts w:ascii="Calibri" w:hAnsi="Calibri" w:cs="Arial"/>
          <w:b/>
          <w:sz w:val="24"/>
          <w:szCs w:val="24"/>
          <w:u w:val="single"/>
        </w:rPr>
        <w:t>Eligible Applicants</w:t>
      </w:r>
    </w:p>
    <w:p w:rsidR="003264CA" w:rsidRPr="003264CA" w:rsidRDefault="003264CA" w:rsidP="001E6831">
      <w:pPr>
        <w:spacing w:after="120" w:line="276" w:lineRule="auto"/>
        <w:jc w:val="both"/>
        <w:rPr>
          <w:rFonts w:ascii="Calibri" w:hAnsi="Calibri" w:cs="Arial"/>
          <w:sz w:val="24"/>
          <w:szCs w:val="24"/>
        </w:rPr>
      </w:pPr>
      <w:r w:rsidRPr="003264CA">
        <w:rPr>
          <w:rFonts w:ascii="Calibri" w:hAnsi="Calibri" w:cs="Arial"/>
          <w:sz w:val="24"/>
          <w:szCs w:val="24"/>
        </w:rPr>
        <w:t>Private nonprofit organizations, in acco</w:t>
      </w:r>
      <w:r w:rsidR="00F5029E">
        <w:rPr>
          <w:rFonts w:ascii="Calibri" w:hAnsi="Calibri" w:cs="Arial"/>
          <w:sz w:val="24"/>
          <w:szCs w:val="24"/>
        </w:rPr>
        <w:t>rdance with 42 U.S.C. §11373(c), are eligible ESG recipients.</w:t>
      </w:r>
    </w:p>
    <w:p w:rsidR="003264CA" w:rsidRPr="003264CA" w:rsidRDefault="003264CA" w:rsidP="001E6831">
      <w:pPr>
        <w:spacing w:after="120" w:line="276" w:lineRule="auto"/>
        <w:jc w:val="both"/>
        <w:rPr>
          <w:rFonts w:ascii="Calibri" w:hAnsi="Calibri" w:cs="Arial"/>
          <w:sz w:val="24"/>
          <w:szCs w:val="24"/>
        </w:rPr>
      </w:pPr>
      <w:r w:rsidRPr="003264CA">
        <w:rPr>
          <w:rFonts w:ascii="Calibri" w:hAnsi="Calibri" w:cs="Arial"/>
          <w:sz w:val="24"/>
          <w:szCs w:val="24"/>
        </w:rPr>
        <w:t>Applicants must demonstrate the financial management and programmatic expertise to successfully develop, design, implement and monitor the proposed activities.  Applicants must be able to meet other requirements relative to the ESG program, including those specified in Appendix A to this RFP.</w:t>
      </w:r>
    </w:p>
    <w:p w:rsidR="003264CA" w:rsidRPr="003264CA" w:rsidRDefault="003264CA" w:rsidP="00F5029E">
      <w:pPr>
        <w:spacing w:line="276" w:lineRule="auto"/>
        <w:jc w:val="both"/>
        <w:rPr>
          <w:rFonts w:ascii="Calibri" w:hAnsi="Calibri" w:cs="Arial"/>
          <w:sz w:val="24"/>
          <w:szCs w:val="24"/>
        </w:rPr>
      </w:pPr>
      <w:r w:rsidRPr="003264CA">
        <w:rPr>
          <w:rFonts w:ascii="Calibri" w:hAnsi="Calibri" w:cs="Arial"/>
          <w:sz w:val="24"/>
          <w:szCs w:val="24"/>
        </w:rPr>
        <w:t>Faith-based organizations, like all organizations receiving HUD funds, must serve all eligible beneficiaries without regard to religion.</w:t>
      </w:r>
    </w:p>
    <w:p w:rsidR="003264CA" w:rsidRPr="003264CA" w:rsidRDefault="001E6831" w:rsidP="001E6831">
      <w:pPr>
        <w:spacing w:after="120" w:line="276" w:lineRule="auto"/>
        <w:jc w:val="both"/>
        <w:rPr>
          <w:rFonts w:ascii="Calibri" w:hAnsi="Calibri" w:cs="Arial"/>
          <w:b/>
          <w:sz w:val="24"/>
          <w:szCs w:val="24"/>
          <w:u w:val="single"/>
        </w:rPr>
      </w:pPr>
      <w:r>
        <w:rPr>
          <w:rFonts w:ascii="Calibri" w:hAnsi="Calibri" w:cs="Arial"/>
          <w:b/>
          <w:sz w:val="24"/>
          <w:szCs w:val="24"/>
          <w:u w:val="single"/>
        </w:rPr>
        <w:br w:type="page"/>
      </w:r>
      <w:r w:rsidR="003264CA" w:rsidRPr="003264CA">
        <w:rPr>
          <w:rFonts w:ascii="Calibri" w:hAnsi="Calibri" w:cs="Arial"/>
          <w:b/>
          <w:sz w:val="24"/>
          <w:szCs w:val="24"/>
          <w:u w:val="single"/>
        </w:rPr>
        <w:lastRenderedPageBreak/>
        <w:t>Eligible Categories of Funding</w:t>
      </w:r>
    </w:p>
    <w:p w:rsidR="003264CA" w:rsidRPr="003264CA" w:rsidRDefault="003264CA" w:rsidP="001E6831">
      <w:pPr>
        <w:spacing w:after="120" w:line="276" w:lineRule="auto"/>
        <w:jc w:val="both"/>
        <w:rPr>
          <w:rFonts w:ascii="Calibri" w:hAnsi="Calibri" w:cs="Arial"/>
          <w:sz w:val="24"/>
          <w:szCs w:val="24"/>
        </w:rPr>
      </w:pPr>
      <w:r w:rsidRPr="003264CA">
        <w:rPr>
          <w:rFonts w:ascii="Calibri" w:hAnsi="Calibri" w:cs="Arial"/>
          <w:sz w:val="24"/>
          <w:szCs w:val="24"/>
        </w:rPr>
        <w:t xml:space="preserve">Eligible ESG activities </w:t>
      </w:r>
      <w:r w:rsidR="006858E5">
        <w:rPr>
          <w:rFonts w:ascii="Calibri" w:hAnsi="Calibri" w:cs="Arial"/>
          <w:sz w:val="24"/>
          <w:szCs w:val="24"/>
        </w:rPr>
        <w:t xml:space="preserve">that the City of Springfield will fund </w:t>
      </w:r>
      <w:r w:rsidR="003A71F6">
        <w:rPr>
          <w:rFonts w:ascii="Calibri" w:hAnsi="Calibri" w:cs="Arial"/>
          <w:sz w:val="24"/>
          <w:szCs w:val="24"/>
        </w:rPr>
        <w:t xml:space="preserve">in FY15 </w:t>
      </w:r>
      <w:r w:rsidRPr="003264CA">
        <w:rPr>
          <w:rFonts w:ascii="Calibri" w:hAnsi="Calibri" w:cs="Arial"/>
          <w:sz w:val="24"/>
          <w:szCs w:val="24"/>
        </w:rPr>
        <w:t>are as follows:</w:t>
      </w:r>
    </w:p>
    <w:p w:rsidR="003264CA" w:rsidRPr="003264CA" w:rsidRDefault="003264CA" w:rsidP="001E6831">
      <w:pPr>
        <w:numPr>
          <w:ilvl w:val="0"/>
          <w:numId w:val="13"/>
        </w:numPr>
        <w:spacing w:after="120" w:line="276" w:lineRule="auto"/>
        <w:jc w:val="both"/>
        <w:rPr>
          <w:rFonts w:ascii="Calibri" w:hAnsi="Calibri" w:cs="Arial"/>
          <w:b/>
          <w:sz w:val="24"/>
          <w:szCs w:val="24"/>
        </w:rPr>
      </w:pPr>
      <w:r w:rsidRPr="003264CA">
        <w:rPr>
          <w:rFonts w:ascii="Calibri" w:hAnsi="Calibri" w:cs="Arial"/>
          <w:b/>
          <w:i/>
          <w:sz w:val="24"/>
          <w:szCs w:val="24"/>
        </w:rPr>
        <w:t>Rental Assistance</w:t>
      </w:r>
      <w:r w:rsidRPr="003264CA">
        <w:rPr>
          <w:rFonts w:ascii="Calibri" w:hAnsi="Calibri" w:cs="Arial"/>
          <w:b/>
          <w:sz w:val="24"/>
          <w:szCs w:val="24"/>
        </w:rPr>
        <w:t xml:space="preserve">.  </w:t>
      </w:r>
      <w:r w:rsidRPr="003264CA">
        <w:rPr>
          <w:rFonts w:ascii="Calibri" w:hAnsi="Calibri" w:cs="Arial"/>
          <w:sz w:val="24"/>
          <w:szCs w:val="24"/>
        </w:rPr>
        <w:t xml:space="preserve">Provision of rental assistance to provide short-term or medium-term housing to homeless individuals or families </w:t>
      </w:r>
      <w:r w:rsidR="007E6A73" w:rsidRPr="003264CA">
        <w:rPr>
          <w:rFonts w:ascii="Calibri" w:hAnsi="Calibri" w:cs="Arial"/>
          <w:sz w:val="24"/>
          <w:szCs w:val="24"/>
        </w:rPr>
        <w:t>(</w:t>
      </w:r>
      <w:r w:rsidR="007E6A73" w:rsidRPr="003264CA">
        <w:rPr>
          <w:rFonts w:ascii="Calibri" w:hAnsi="Calibri" w:cs="Arial"/>
          <w:b/>
          <w:i/>
          <w:sz w:val="24"/>
          <w:szCs w:val="24"/>
        </w:rPr>
        <w:t>rapid rehousing</w:t>
      </w:r>
      <w:r w:rsidR="007E6A73" w:rsidRPr="003264CA">
        <w:rPr>
          <w:rFonts w:ascii="Calibri" w:hAnsi="Calibri" w:cs="Arial"/>
          <w:sz w:val="24"/>
          <w:szCs w:val="24"/>
        </w:rPr>
        <w:t>)</w:t>
      </w:r>
      <w:r w:rsidR="007E6A73">
        <w:rPr>
          <w:rFonts w:ascii="Calibri" w:hAnsi="Calibri" w:cs="Arial"/>
          <w:sz w:val="24"/>
          <w:szCs w:val="24"/>
        </w:rPr>
        <w:t xml:space="preserve"> </w:t>
      </w:r>
      <w:r w:rsidRPr="003264CA">
        <w:rPr>
          <w:rFonts w:ascii="Calibri" w:hAnsi="Calibri" w:cs="Arial"/>
          <w:sz w:val="24"/>
          <w:szCs w:val="24"/>
        </w:rPr>
        <w:t>or individuals at risk of homelessness (</w:t>
      </w:r>
      <w:r w:rsidRPr="003264CA">
        <w:rPr>
          <w:rFonts w:ascii="Calibri" w:hAnsi="Calibri" w:cs="Arial"/>
          <w:b/>
          <w:i/>
          <w:sz w:val="24"/>
          <w:szCs w:val="24"/>
        </w:rPr>
        <w:t>homelessness prevention</w:t>
      </w:r>
      <w:r w:rsidRPr="003264CA">
        <w:rPr>
          <w:rFonts w:ascii="Calibri" w:hAnsi="Calibri" w:cs="Arial"/>
          <w:sz w:val="24"/>
          <w:szCs w:val="24"/>
        </w:rPr>
        <w:t xml:space="preserve">).   Such rental assistance may include tenant-based or project-based rental assistance.  </w:t>
      </w:r>
    </w:p>
    <w:p w:rsidR="003264CA" w:rsidRPr="003264CA" w:rsidRDefault="003264CA" w:rsidP="001E6831">
      <w:pPr>
        <w:numPr>
          <w:ilvl w:val="0"/>
          <w:numId w:val="13"/>
        </w:numPr>
        <w:spacing w:after="120" w:line="276" w:lineRule="auto"/>
        <w:jc w:val="both"/>
        <w:rPr>
          <w:rFonts w:ascii="Calibri" w:hAnsi="Calibri" w:cs="Arial"/>
          <w:b/>
          <w:sz w:val="24"/>
          <w:szCs w:val="24"/>
        </w:rPr>
      </w:pPr>
      <w:r w:rsidRPr="003264CA">
        <w:rPr>
          <w:rFonts w:ascii="Calibri" w:hAnsi="Calibri" w:cs="Arial"/>
          <w:b/>
          <w:i/>
          <w:sz w:val="24"/>
          <w:szCs w:val="24"/>
        </w:rPr>
        <w:t xml:space="preserve">Housing Relocation or Stabilization Services </w:t>
      </w:r>
      <w:r w:rsidRPr="003264CA">
        <w:rPr>
          <w:rFonts w:ascii="Calibri" w:hAnsi="Calibri" w:cs="Arial"/>
          <w:sz w:val="24"/>
          <w:szCs w:val="24"/>
        </w:rPr>
        <w:t>for homeless individuals or families or individuals or families at imminent risk of homelessness, including housing search, mediation or outreach to property owners, security or utility deposits, utility payments, rental assistance for final month at a location, assistance with moving costs, or other activities that are effective at (A) stabilizing individuals and families in their current housing (</w:t>
      </w:r>
      <w:r w:rsidRPr="003264CA">
        <w:rPr>
          <w:rFonts w:ascii="Calibri" w:hAnsi="Calibri" w:cs="Arial"/>
          <w:b/>
          <w:i/>
          <w:sz w:val="24"/>
          <w:szCs w:val="24"/>
        </w:rPr>
        <w:t>homelessness prevention</w:t>
      </w:r>
      <w:r w:rsidRPr="003264CA">
        <w:rPr>
          <w:rFonts w:ascii="Calibri" w:hAnsi="Calibri" w:cs="Arial"/>
          <w:sz w:val="24"/>
          <w:szCs w:val="24"/>
        </w:rPr>
        <w:t>); or (B) quickly moving such individuals and families to other permanent housing (</w:t>
      </w:r>
      <w:r w:rsidRPr="003264CA">
        <w:rPr>
          <w:rFonts w:ascii="Calibri" w:hAnsi="Calibri" w:cs="Arial"/>
          <w:b/>
          <w:i/>
          <w:sz w:val="24"/>
          <w:szCs w:val="24"/>
        </w:rPr>
        <w:t>rapid rehousing</w:t>
      </w:r>
      <w:r w:rsidRPr="003264CA">
        <w:rPr>
          <w:rFonts w:ascii="Calibri" w:hAnsi="Calibri" w:cs="Arial"/>
          <w:sz w:val="24"/>
          <w:szCs w:val="24"/>
        </w:rPr>
        <w:t xml:space="preserve">). </w:t>
      </w:r>
    </w:p>
    <w:p w:rsidR="003264CA" w:rsidRPr="003264CA" w:rsidRDefault="003264CA" w:rsidP="001E6831">
      <w:pPr>
        <w:numPr>
          <w:ilvl w:val="0"/>
          <w:numId w:val="13"/>
        </w:numPr>
        <w:spacing w:after="120" w:line="276" w:lineRule="auto"/>
        <w:jc w:val="both"/>
        <w:rPr>
          <w:rFonts w:ascii="Calibri" w:hAnsi="Calibri" w:cs="Arial"/>
          <w:b/>
          <w:sz w:val="24"/>
          <w:szCs w:val="24"/>
        </w:rPr>
      </w:pPr>
      <w:r w:rsidRPr="003264CA">
        <w:rPr>
          <w:rFonts w:ascii="Calibri" w:hAnsi="Calibri" w:cs="Arial"/>
          <w:b/>
          <w:i/>
          <w:sz w:val="24"/>
          <w:szCs w:val="24"/>
        </w:rPr>
        <w:t xml:space="preserve">Operating costs.  </w:t>
      </w:r>
      <w:r w:rsidRPr="003264CA">
        <w:rPr>
          <w:rFonts w:ascii="Calibri" w:hAnsi="Calibri" w:cs="Arial"/>
          <w:sz w:val="24"/>
          <w:szCs w:val="24"/>
        </w:rPr>
        <w:t xml:space="preserve">Maintenance, operation, insurance, provision of utilities, and provision of furnishings related to emergency shelter.  The City will consider proposals for operating costs for which there is demonstrated need that is above and beyond that which is being funded by the Commonwealth of Massachusetts.  The City will not provide operating costs for newly-developed shelters. </w:t>
      </w:r>
      <w:r w:rsidRPr="003264CA">
        <w:rPr>
          <w:rFonts w:ascii="Calibri" w:hAnsi="Calibri" w:cs="Arial"/>
          <w:b/>
          <w:sz w:val="24"/>
          <w:szCs w:val="24"/>
        </w:rPr>
        <w:t xml:space="preserve">The City </w:t>
      </w:r>
      <w:r w:rsidR="00E11A9B">
        <w:rPr>
          <w:rFonts w:ascii="Calibri" w:hAnsi="Calibri" w:cs="Arial"/>
          <w:b/>
          <w:sz w:val="24"/>
          <w:szCs w:val="24"/>
        </w:rPr>
        <w:t xml:space="preserve">will provide no more than </w:t>
      </w:r>
      <w:r w:rsidR="007E6A73">
        <w:rPr>
          <w:rFonts w:ascii="Calibri" w:hAnsi="Calibri" w:cs="Arial"/>
          <w:b/>
          <w:sz w:val="24"/>
          <w:szCs w:val="24"/>
        </w:rPr>
        <w:t>$70,000 for the FY15</w:t>
      </w:r>
      <w:r w:rsidRPr="003264CA">
        <w:rPr>
          <w:rFonts w:ascii="Calibri" w:hAnsi="Calibri" w:cs="Arial"/>
          <w:b/>
          <w:sz w:val="24"/>
          <w:szCs w:val="24"/>
        </w:rPr>
        <w:t xml:space="preserve"> year for emergency shelter operating costs.</w:t>
      </w:r>
    </w:p>
    <w:p w:rsidR="00E11A9B" w:rsidRPr="003264CA" w:rsidRDefault="00E11A9B" w:rsidP="00E11A9B">
      <w:pPr>
        <w:numPr>
          <w:ilvl w:val="0"/>
          <w:numId w:val="13"/>
        </w:numPr>
        <w:spacing w:after="120" w:line="276" w:lineRule="auto"/>
        <w:jc w:val="both"/>
        <w:rPr>
          <w:rFonts w:ascii="Calibri" w:hAnsi="Calibri" w:cs="Arial"/>
          <w:b/>
          <w:sz w:val="24"/>
          <w:szCs w:val="24"/>
        </w:rPr>
      </w:pPr>
      <w:r>
        <w:rPr>
          <w:rFonts w:ascii="Calibri" w:hAnsi="Calibri" w:cs="Arial"/>
          <w:b/>
          <w:i/>
          <w:sz w:val="24"/>
          <w:szCs w:val="24"/>
        </w:rPr>
        <w:t xml:space="preserve">Street </w:t>
      </w:r>
      <w:r w:rsidRPr="00E11A9B">
        <w:rPr>
          <w:rFonts w:ascii="Calibri" w:hAnsi="Calibri" w:cs="Arial"/>
          <w:b/>
          <w:i/>
          <w:sz w:val="24"/>
          <w:szCs w:val="24"/>
        </w:rPr>
        <w:t xml:space="preserve">Outreach. </w:t>
      </w:r>
      <w:r w:rsidRPr="00E11A9B">
        <w:rPr>
          <w:rFonts w:ascii="Calibri" w:hAnsi="Calibri" w:cs="Arial"/>
          <w:sz w:val="24"/>
          <w:szCs w:val="24"/>
        </w:rPr>
        <w:t xml:space="preserve">Outreach to individuals living on the streets or in shelters where the goal of the outreach is directed toward assisting such individuals to access permanent housing. </w:t>
      </w:r>
      <w:r w:rsidRPr="003264CA">
        <w:rPr>
          <w:rFonts w:ascii="Calibri" w:hAnsi="Calibri" w:cs="Arial"/>
          <w:b/>
          <w:sz w:val="24"/>
          <w:szCs w:val="24"/>
        </w:rPr>
        <w:t xml:space="preserve">The City </w:t>
      </w:r>
      <w:r>
        <w:rPr>
          <w:rFonts w:ascii="Calibri" w:hAnsi="Calibri" w:cs="Arial"/>
          <w:b/>
          <w:sz w:val="24"/>
          <w:szCs w:val="24"/>
        </w:rPr>
        <w:t>will provide no more than $15,000 for the FY15</w:t>
      </w:r>
      <w:r w:rsidRPr="003264CA">
        <w:rPr>
          <w:rFonts w:ascii="Calibri" w:hAnsi="Calibri" w:cs="Arial"/>
          <w:b/>
          <w:sz w:val="24"/>
          <w:szCs w:val="24"/>
        </w:rPr>
        <w:t xml:space="preserve"> year for </w:t>
      </w:r>
      <w:r>
        <w:rPr>
          <w:rFonts w:ascii="Calibri" w:hAnsi="Calibri" w:cs="Arial"/>
          <w:b/>
          <w:sz w:val="24"/>
          <w:szCs w:val="24"/>
        </w:rPr>
        <w:t>outreach</w:t>
      </w:r>
      <w:r w:rsidRPr="003264CA">
        <w:rPr>
          <w:rFonts w:ascii="Calibri" w:hAnsi="Calibri" w:cs="Arial"/>
          <w:b/>
          <w:sz w:val="24"/>
          <w:szCs w:val="24"/>
        </w:rPr>
        <w:t>.</w:t>
      </w:r>
    </w:p>
    <w:p w:rsidR="003264CA" w:rsidRPr="003264CA" w:rsidRDefault="003264CA" w:rsidP="003A71F6">
      <w:pPr>
        <w:spacing w:before="240" w:after="120" w:line="276" w:lineRule="auto"/>
        <w:jc w:val="both"/>
        <w:rPr>
          <w:rFonts w:ascii="Calibri" w:hAnsi="Calibri" w:cs="Arial"/>
          <w:b/>
          <w:sz w:val="24"/>
          <w:szCs w:val="24"/>
        </w:rPr>
      </w:pPr>
      <w:r w:rsidRPr="003264CA">
        <w:rPr>
          <w:rFonts w:ascii="Calibri" w:hAnsi="Calibri" w:cs="Arial"/>
          <w:b/>
          <w:sz w:val="24"/>
          <w:szCs w:val="24"/>
        </w:rPr>
        <w:t>Summary of Eligible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264CA" w:rsidRPr="003264CA" w:rsidTr="00F84024">
        <w:tc>
          <w:tcPr>
            <w:tcW w:w="9576" w:type="dxa"/>
            <w:gridSpan w:val="2"/>
            <w:shd w:val="clear" w:color="auto" w:fill="D9D9D9"/>
          </w:tcPr>
          <w:p w:rsidR="003264CA" w:rsidRPr="003264CA" w:rsidRDefault="003264CA" w:rsidP="003264CA">
            <w:pPr>
              <w:spacing w:line="276" w:lineRule="auto"/>
              <w:jc w:val="center"/>
              <w:rPr>
                <w:rFonts w:ascii="Calibri" w:hAnsi="Calibri" w:cs="Arial"/>
                <w:b/>
                <w:szCs w:val="22"/>
              </w:rPr>
            </w:pPr>
            <w:r w:rsidRPr="003264CA">
              <w:rPr>
                <w:rFonts w:ascii="Calibri" w:hAnsi="Calibri" w:cs="Arial"/>
                <w:b/>
                <w:szCs w:val="22"/>
              </w:rPr>
              <w:t>Homelessness Prevention Activities</w:t>
            </w:r>
          </w:p>
        </w:tc>
      </w:tr>
      <w:tr w:rsidR="003264CA" w:rsidRPr="003264CA" w:rsidTr="00F84024">
        <w:tc>
          <w:tcPr>
            <w:tcW w:w="4788" w:type="dxa"/>
            <w:shd w:val="clear" w:color="auto" w:fill="D9D9D9"/>
          </w:tcPr>
          <w:p w:rsidR="003264CA" w:rsidRPr="003264CA" w:rsidRDefault="003264CA" w:rsidP="003264CA">
            <w:pPr>
              <w:spacing w:line="276" w:lineRule="auto"/>
              <w:jc w:val="both"/>
              <w:rPr>
                <w:rFonts w:ascii="Calibri" w:hAnsi="Calibri" w:cs="Arial"/>
                <w:b/>
                <w:szCs w:val="22"/>
              </w:rPr>
            </w:pPr>
            <w:r w:rsidRPr="003264CA">
              <w:rPr>
                <w:rFonts w:ascii="Calibri" w:hAnsi="Calibri" w:cs="Arial"/>
                <w:b/>
                <w:szCs w:val="22"/>
              </w:rPr>
              <w:t>Direct Financial Assistance</w:t>
            </w:r>
          </w:p>
        </w:tc>
        <w:tc>
          <w:tcPr>
            <w:tcW w:w="4788" w:type="dxa"/>
            <w:shd w:val="clear" w:color="auto" w:fill="D9D9D9"/>
          </w:tcPr>
          <w:p w:rsidR="003264CA" w:rsidRPr="003264CA" w:rsidRDefault="003264CA" w:rsidP="003264CA">
            <w:pPr>
              <w:spacing w:line="276" w:lineRule="auto"/>
              <w:jc w:val="both"/>
              <w:rPr>
                <w:rFonts w:ascii="Calibri" w:hAnsi="Calibri" w:cs="Arial"/>
                <w:b/>
                <w:szCs w:val="22"/>
              </w:rPr>
            </w:pPr>
            <w:r w:rsidRPr="003264CA">
              <w:rPr>
                <w:rFonts w:ascii="Calibri" w:hAnsi="Calibri" w:cs="Arial"/>
                <w:b/>
                <w:szCs w:val="22"/>
              </w:rPr>
              <w:t>Housing Relocation and Stabilization Services</w:t>
            </w:r>
          </w:p>
        </w:tc>
      </w:tr>
      <w:tr w:rsidR="003264CA" w:rsidRPr="003264CA" w:rsidTr="00F84024">
        <w:tc>
          <w:tcPr>
            <w:tcW w:w="4788" w:type="dxa"/>
            <w:shd w:val="clear" w:color="auto" w:fill="auto"/>
          </w:tcPr>
          <w:p w:rsidR="003264CA" w:rsidRPr="003264CA" w:rsidRDefault="003264CA" w:rsidP="003264CA">
            <w:pPr>
              <w:numPr>
                <w:ilvl w:val="0"/>
                <w:numId w:val="21"/>
              </w:numPr>
              <w:spacing w:line="276" w:lineRule="auto"/>
              <w:jc w:val="both"/>
              <w:rPr>
                <w:rFonts w:ascii="Calibri" w:hAnsi="Calibri" w:cs="Arial"/>
                <w:b/>
                <w:szCs w:val="22"/>
              </w:rPr>
            </w:pPr>
            <w:r w:rsidRPr="003264CA">
              <w:rPr>
                <w:rFonts w:ascii="Calibri" w:hAnsi="Calibri" w:cs="Arial"/>
                <w:szCs w:val="22"/>
              </w:rPr>
              <w:t>Rent arrearages (up to 6 months)</w:t>
            </w:r>
          </w:p>
          <w:p w:rsidR="003264CA" w:rsidRPr="003264CA" w:rsidRDefault="003264CA" w:rsidP="003264CA">
            <w:pPr>
              <w:numPr>
                <w:ilvl w:val="0"/>
                <w:numId w:val="21"/>
              </w:numPr>
              <w:spacing w:line="276" w:lineRule="auto"/>
              <w:jc w:val="both"/>
              <w:rPr>
                <w:rFonts w:ascii="Calibri" w:hAnsi="Calibri" w:cs="Arial"/>
                <w:b/>
                <w:szCs w:val="22"/>
              </w:rPr>
            </w:pPr>
            <w:r w:rsidRPr="003264CA">
              <w:rPr>
                <w:rFonts w:ascii="Calibri" w:hAnsi="Calibri" w:cs="Arial"/>
                <w:szCs w:val="22"/>
              </w:rPr>
              <w:t>Utility arrearages</w:t>
            </w:r>
          </w:p>
          <w:p w:rsidR="003264CA" w:rsidRPr="003264CA" w:rsidRDefault="003264CA" w:rsidP="003264CA">
            <w:pPr>
              <w:numPr>
                <w:ilvl w:val="0"/>
                <w:numId w:val="21"/>
              </w:numPr>
              <w:spacing w:line="276" w:lineRule="auto"/>
              <w:rPr>
                <w:rFonts w:ascii="Calibri" w:hAnsi="Calibri" w:cs="Arial"/>
                <w:b/>
                <w:szCs w:val="22"/>
              </w:rPr>
            </w:pPr>
            <w:r w:rsidRPr="003264CA">
              <w:rPr>
                <w:rFonts w:ascii="Calibri" w:hAnsi="Calibri" w:cs="Arial"/>
                <w:szCs w:val="22"/>
              </w:rPr>
              <w:t>Short-term or medium-term rental assistance</w:t>
            </w:r>
          </w:p>
        </w:tc>
        <w:tc>
          <w:tcPr>
            <w:tcW w:w="4788" w:type="dxa"/>
            <w:shd w:val="clear" w:color="auto" w:fill="auto"/>
          </w:tcPr>
          <w:p w:rsidR="003264CA" w:rsidRPr="003264CA" w:rsidRDefault="003264CA" w:rsidP="003264CA">
            <w:pPr>
              <w:numPr>
                <w:ilvl w:val="0"/>
                <w:numId w:val="21"/>
              </w:numPr>
              <w:spacing w:line="276" w:lineRule="auto"/>
              <w:jc w:val="both"/>
              <w:rPr>
                <w:rFonts w:ascii="Calibri" w:hAnsi="Calibri" w:cs="Arial"/>
                <w:b/>
                <w:szCs w:val="22"/>
              </w:rPr>
            </w:pPr>
            <w:r w:rsidRPr="003264CA">
              <w:rPr>
                <w:rFonts w:ascii="Calibri" w:hAnsi="Calibri" w:cs="Arial"/>
                <w:szCs w:val="22"/>
              </w:rPr>
              <w:t>Housing stability case management</w:t>
            </w:r>
          </w:p>
          <w:p w:rsidR="003264CA" w:rsidRPr="003264CA" w:rsidRDefault="003264CA" w:rsidP="003264CA">
            <w:pPr>
              <w:numPr>
                <w:ilvl w:val="0"/>
                <w:numId w:val="21"/>
              </w:numPr>
              <w:spacing w:line="276" w:lineRule="auto"/>
              <w:jc w:val="both"/>
              <w:rPr>
                <w:rFonts w:ascii="Calibri" w:hAnsi="Calibri" w:cs="Arial"/>
                <w:b/>
                <w:szCs w:val="22"/>
              </w:rPr>
            </w:pPr>
            <w:r w:rsidRPr="003264CA">
              <w:rPr>
                <w:rFonts w:ascii="Calibri" w:hAnsi="Calibri" w:cs="Arial"/>
                <w:szCs w:val="22"/>
              </w:rPr>
              <w:t>Housing search and placement</w:t>
            </w:r>
          </w:p>
          <w:p w:rsidR="003264CA" w:rsidRPr="003264CA" w:rsidRDefault="00E11A9B" w:rsidP="003264CA">
            <w:pPr>
              <w:numPr>
                <w:ilvl w:val="0"/>
                <w:numId w:val="21"/>
              </w:numPr>
              <w:spacing w:line="276" w:lineRule="auto"/>
              <w:jc w:val="both"/>
              <w:rPr>
                <w:rFonts w:ascii="Calibri" w:hAnsi="Calibri" w:cs="Arial"/>
                <w:b/>
                <w:szCs w:val="22"/>
              </w:rPr>
            </w:pPr>
            <w:r>
              <w:rPr>
                <w:rFonts w:ascii="Calibri" w:hAnsi="Calibri" w:cs="Arial"/>
                <w:szCs w:val="22"/>
              </w:rPr>
              <w:t>Landlord m</w:t>
            </w:r>
            <w:r w:rsidR="003264CA" w:rsidRPr="003264CA">
              <w:rPr>
                <w:rFonts w:ascii="Calibri" w:hAnsi="Calibri" w:cs="Arial"/>
                <w:szCs w:val="22"/>
              </w:rPr>
              <w:t>ediation</w:t>
            </w:r>
          </w:p>
          <w:p w:rsidR="003264CA" w:rsidRPr="003264CA" w:rsidRDefault="003264CA" w:rsidP="003264CA">
            <w:pPr>
              <w:spacing w:line="276" w:lineRule="auto"/>
              <w:ind w:left="720"/>
              <w:jc w:val="both"/>
              <w:rPr>
                <w:rFonts w:ascii="Calibri" w:hAnsi="Calibri" w:cs="Arial"/>
                <w:b/>
                <w:szCs w:val="22"/>
              </w:rPr>
            </w:pPr>
          </w:p>
        </w:tc>
      </w:tr>
      <w:tr w:rsidR="003264CA" w:rsidRPr="003264CA" w:rsidTr="00F84024">
        <w:tc>
          <w:tcPr>
            <w:tcW w:w="9576" w:type="dxa"/>
            <w:gridSpan w:val="2"/>
            <w:shd w:val="clear" w:color="auto" w:fill="D9D9D9"/>
          </w:tcPr>
          <w:p w:rsidR="003264CA" w:rsidRPr="003264CA" w:rsidRDefault="003264CA" w:rsidP="003264CA">
            <w:pPr>
              <w:spacing w:line="276" w:lineRule="auto"/>
              <w:jc w:val="center"/>
              <w:rPr>
                <w:rFonts w:ascii="Calibri" w:hAnsi="Calibri" w:cs="Arial"/>
                <w:b/>
                <w:szCs w:val="22"/>
              </w:rPr>
            </w:pPr>
            <w:r w:rsidRPr="003264CA">
              <w:rPr>
                <w:rFonts w:ascii="Calibri" w:hAnsi="Calibri" w:cs="Arial"/>
                <w:b/>
                <w:szCs w:val="22"/>
              </w:rPr>
              <w:t>Rapid Re-Housing Activities</w:t>
            </w:r>
          </w:p>
        </w:tc>
      </w:tr>
      <w:tr w:rsidR="003264CA" w:rsidRPr="003264CA" w:rsidTr="00F84024">
        <w:tc>
          <w:tcPr>
            <w:tcW w:w="4788" w:type="dxa"/>
            <w:shd w:val="clear" w:color="auto" w:fill="D9D9D9"/>
          </w:tcPr>
          <w:p w:rsidR="003264CA" w:rsidRPr="003264CA" w:rsidRDefault="003264CA" w:rsidP="003264CA">
            <w:pPr>
              <w:spacing w:line="276" w:lineRule="auto"/>
              <w:jc w:val="both"/>
              <w:rPr>
                <w:rFonts w:ascii="Calibri" w:hAnsi="Calibri" w:cs="Arial"/>
                <w:b/>
                <w:szCs w:val="22"/>
              </w:rPr>
            </w:pPr>
            <w:r w:rsidRPr="003264CA">
              <w:rPr>
                <w:rFonts w:ascii="Calibri" w:hAnsi="Calibri" w:cs="Arial"/>
                <w:b/>
                <w:szCs w:val="22"/>
              </w:rPr>
              <w:t>Direct Financial Assistance</w:t>
            </w:r>
          </w:p>
        </w:tc>
        <w:tc>
          <w:tcPr>
            <w:tcW w:w="4788" w:type="dxa"/>
            <w:shd w:val="clear" w:color="auto" w:fill="D9D9D9"/>
          </w:tcPr>
          <w:p w:rsidR="003264CA" w:rsidRPr="003264CA" w:rsidRDefault="003264CA" w:rsidP="003264CA">
            <w:pPr>
              <w:spacing w:line="276" w:lineRule="auto"/>
              <w:jc w:val="both"/>
              <w:rPr>
                <w:rFonts w:ascii="Calibri" w:hAnsi="Calibri" w:cs="Arial"/>
                <w:b/>
                <w:szCs w:val="22"/>
              </w:rPr>
            </w:pPr>
            <w:r w:rsidRPr="003264CA">
              <w:rPr>
                <w:rFonts w:ascii="Calibri" w:hAnsi="Calibri" w:cs="Arial"/>
                <w:b/>
                <w:szCs w:val="22"/>
              </w:rPr>
              <w:t>Housing Relocation and Stabilization Services</w:t>
            </w:r>
          </w:p>
        </w:tc>
      </w:tr>
      <w:tr w:rsidR="003264CA" w:rsidRPr="003264CA" w:rsidTr="00F84024">
        <w:tc>
          <w:tcPr>
            <w:tcW w:w="4788" w:type="dxa"/>
            <w:shd w:val="clear" w:color="auto" w:fill="auto"/>
          </w:tcPr>
          <w:p w:rsidR="003264CA" w:rsidRPr="00A3435E" w:rsidRDefault="003264CA" w:rsidP="003264CA">
            <w:pPr>
              <w:numPr>
                <w:ilvl w:val="0"/>
                <w:numId w:val="22"/>
              </w:numPr>
              <w:spacing w:line="276" w:lineRule="auto"/>
              <w:jc w:val="both"/>
              <w:rPr>
                <w:rFonts w:ascii="Calibri" w:hAnsi="Calibri" w:cs="Arial"/>
                <w:b/>
                <w:szCs w:val="22"/>
              </w:rPr>
            </w:pPr>
            <w:r w:rsidRPr="00A3435E">
              <w:rPr>
                <w:rFonts w:ascii="Calibri" w:hAnsi="Calibri" w:cs="Arial"/>
                <w:szCs w:val="22"/>
              </w:rPr>
              <w:t>First/last months’ rent</w:t>
            </w:r>
            <w:r w:rsidR="00A3435E" w:rsidRPr="00A3435E">
              <w:rPr>
                <w:rFonts w:ascii="Calibri" w:hAnsi="Calibri" w:cs="Arial"/>
                <w:szCs w:val="22"/>
              </w:rPr>
              <w:t xml:space="preserve">; </w:t>
            </w:r>
            <w:r w:rsidRPr="00A3435E">
              <w:rPr>
                <w:rFonts w:ascii="Calibri" w:hAnsi="Calibri" w:cs="Arial"/>
                <w:szCs w:val="22"/>
              </w:rPr>
              <w:t>Security deposit</w:t>
            </w:r>
          </w:p>
          <w:p w:rsidR="003264CA" w:rsidRPr="003264CA" w:rsidRDefault="003264CA" w:rsidP="003264CA">
            <w:pPr>
              <w:numPr>
                <w:ilvl w:val="0"/>
                <w:numId w:val="22"/>
              </w:numPr>
              <w:spacing w:line="276" w:lineRule="auto"/>
              <w:jc w:val="both"/>
              <w:rPr>
                <w:rFonts w:ascii="Calibri" w:hAnsi="Calibri" w:cs="Arial"/>
                <w:b/>
                <w:szCs w:val="22"/>
              </w:rPr>
            </w:pPr>
            <w:r w:rsidRPr="003264CA">
              <w:rPr>
                <w:rFonts w:ascii="Calibri" w:hAnsi="Calibri" w:cs="Arial"/>
                <w:szCs w:val="22"/>
              </w:rPr>
              <w:t>Utility deposit</w:t>
            </w:r>
          </w:p>
          <w:p w:rsidR="003264CA" w:rsidRPr="003264CA" w:rsidRDefault="003264CA" w:rsidP="003264CA">
            <w:pPr>
              <w:numPr>
                <w:ilvl w:val="0"/>
                <w:numId w:val="22"/>
              </w:numPr>
              <w:spacing w:line="276" w:lineRule="auto"/>
              <w:jc w:val="both"/>
              <w:rPr>
                <w:rFonts w:ascii="Calibri" w:hAnsi="Calibri" w:cs="Arial"/>
                <w:b/>
                <w:szCs w:val="22"/>
              </w:rPr>
            </w:pPr>
            <w:r w:rsidRPr="003264CA">
              <w:rPr>
                <w:rFonts w:ascii="Calibri" w:hAnsi="Calibri" w:cs="Arial"/>
                <w:szCs w:val="22"/>
              </w:rPr>
              <w:t>Moving costs</w:t>
            </w:r>
          </w:p>
          <w:p w:rsidR="003264CA" w:rsidRPr="003264CA" w:rsidRDefault="003264CA" w:rsidP="003264CA">
            <w:pPr>
              <w:numPr>
                <w:ilvl w:val="0"/>
                <w:numId w:val="22"/>
              </w:numPr>
              <w:spacing w:line="276" w:lineRule="auto"/>
              <w:jc w:val="both"/>
              <w:rPr>
                <w:rFonts w:ascii="Calibri" w:hAnsi="Calibri" w:cs="Arial"/>
                <w:b/>
                <w:szCs w:val="22"/>
              </w:rPr>
            </w:pPr>
            <w:r w:rsidRPr="003264CA">
              <w:rPr>
                <w:rFonts w:ascii="Calibri" w:hAnsi="Calibri" w:cs="Arial"/>
                <w:szCs w:val="22"/>
              </w:rPr>
              <w:t>Short-term (up to 3 months) or medium-</w:t>
            </w:r>
            <w:r w:rsidR="00A3435E">
              <w:rPr>
                <w:rFonts w:ascii="Calibri" w:hAnsi="Calibri" w:cs="Arial"/>
                <w:szCs w:val="22"/>
              </w:rPr>
              <w:t>term rental assistance (up to 24</w:t>
            </w:r>
            <w:r w:rsidRPr="003264CA">
              <w:rPr>
                <w:rFonts w:ascii="Calibri" w:hAnsi="Calibri" w:cs="Arial"/>
                <w:szCs w:val="22"/>
              </w:rPr>
              <w:t xml:space="preserve"> months</w:t>
            </w:r>
            <w:r w:rsidR="00A3435E">
              <w:rPr>
                <w:rFonts w:ascii="Calibri" w:hAnsi="Calibri" w:cs="Arial"/>
                <w:szCs w:val="22"/>
              </w:rPr>
              <w:t>)</w:t>
            </w:r>
          </w:p>
          <w:p w:rsidR="003264CA" w:rsidRPr="003264CA" w:rsidRDefault="003264CA" w:rsidP="003264CA">
            <w:pPr>
              <w:numPr>
                <w:ilvl w:val="0"/>
                <w:numId w:val="22"/>
              </w:numPr>
              <w:spacing w:line="276" w:lineRule="auto"/>
              <w:jc w:val="both"/>
              <w:rPr>
                <w:rFonts w:ascii="Calibri" w:hAnsi="Calibri" w:cs="Arial"/>
                <w:b/>
                <w:szCs w:val="22"/>
              </w:rPr>
            </w:pPr>
            <w:r w:rsidRPr="003264CA">
              <w:rPr>
                <w:rFonts w:ascii="Calibri" w:hAnsi="Calibri" w:cs="Arial"/>
                <w:szCs w:val="22"/>
              </w:rPr>
              <w:lastRenderedPageBreak/>
              <w:t>Rental application Fees</w:t>
            </w:r>
          </w:p>
        </w:tc>
        <w:tc>
          <w:tcPr>
            <w:tcW w:w="4788" w:type="dxa"/>
            <w:shd w:val="clear" w:color="auto" w:fill="auto"/>
          </w:tcPr>
          <w:p w:rsidR="003264CA" w:rsidRPr="003264CA" w:rsidRDefault="003264CA" w:rsidP="003264CA">
            <w:pPr>
              <w:numPr>
                <w:ilvl w:val="0"/>
                <w:numId w:val="22"/>
              </w:numPr>
              <w:spacing w:line="276" w:lineRule="auto"/>
              <w:jc w:val="both"/>
              <w:rPr>
                <w:rFonts w:ascii="Calibri" w:hAnsi="Calibri" w:cs="Arial"/>
                <w:b/>
                <w:szCs w:val="22"/>
              </w:rPr>
            </w:pPr>
            <w:r w:rsidRPr="003264CA">
              <w:rPr>
                <w:rFonts w:ascii="Calibri" w:hAnsi="Calibri" w:cs="Arial"/>
                <w:szCs w:val="22"/>
              </w:rPr>
              <w:lastRenderedPageBreak/>
              <w:t>Housing stability case management</w:t>
            </w:r>
          </w:p>
          <w:p w:rsidR="003264CA" w:rsidRPr="003264CA" w:rsidRDefault="003264CA" w:rsidP="003264CA">
            <w:pPr>
              <w:numPr>
                <w:ilvl w:val="0"/>
                <w:numId w:val="22"/>
              </w:numPr>
              <w:spacing w:line="276" w:lineRule="auto"/>
              <w:jc w:val="both"/>
              <w:rPr>
                <w:rFonts w:ascii="Calibri" w:hAnsi="Calibri" w:cs="Arial"/>
                <w:b/>
                <w:szCs w:val="22"/>
              </w:rPr>
            </w:pPr>
            <w:r w:rsidRPr="003264CA">
              <w:rPr>
                <w:rFonts w:ascii="Calibri" w:hAnsi="Calibri" w:cs="Arial"/>
                <w:szCs w:val="22"/>
              </w:rPr>
              <w:t>Housing search and placement</w:t>
            </w:r>
          </w:p>
        </w:tc>
      </w:tr>
      <w:tr w:rsidR="003264CA" w:rsidRPr="003264CA" w:rsidTr="00F84024">
        <w:tc>
          <w:tcPr>
            <w:tcW w:w="9576" w:type="dxa"/>
            <w:gridSpan w:val="2"/>
            <w:shd w:val="clear" w:color="auto" w:fill="D9D9D9"/>
          </w:tcPr>
          <w:p w:rsidR="003264CA" w:rsidRPr="003264CA" w:rsidRDefault="003264CA" w:rsidP="003264CA">
            <w:pPr>
              <w:spacing w:line="276" w:lineRule="auto"/>
              <w:jc w:val="center"/>
              <w:rPr>
                <w:rFonts w:ascii="Calibri" w:hAnsi="Calibri" w:cs="Arial"/>
                <w:b/>
                <w:szCs w:val="22"/>
              </w:rPr>
            </w:pPr>
            <w:r w:rsidRPr="003264CA">
              <w:rPr>
                <w:rFonts w:ascii="Calibri" w:hAnsi="Calibri" w:cs="Arial"/>
                <w:b/>
                <w:szCs w:val="22"/>
              </w:rPr>
              <w:lastRenderedPageBreak/>
              <w:t>Emergency Shelter Operations</w:t>
            </w:r>
          </w:p>
        </w:tc>
      </w:tr>
      <w:tr w:rsidR="003264CA" w:rsidRPr="003264CA" w:rsidTr="00F84024">
        <w:tc>
          <w:tcPr>
            <w:tcW w:w="9576" w:type="dxa"/>
            <w:gridSpan w:val="2"/>
            <w:shd w:val="clear" w:color="auto" w:fill="D9D9D9"/>
          </w:tcPr>
          <w:p w:rsidR="003264CA" w:rsidRPr="003264CA" w:rsidRDefault="003264CA" w:rsidP="003264CA">
            <w:pPr>
              <w:spacing w:line="276" w:lineRule="auto"/>
              <w:jc w:val="both"/>
              <w:rPr>
                <w:rFonts w:ascii="Calibri" w:hAnsi="Calibri" w:cs="Arial"/>
                <w:szCs w:val="22"/>
              </w:rPr>
            </w:pPr>
            <w:r w:rsidRPr="003264CA">
              <w:rPr>
                <w:rFonts w:ascii="Calibri" w:hAnsi="Calibri" w:cs="Arial"/>
                <w:b/>
                <w:szCs w:val="22"/>
              </w:rPr>
              <w:t>Operating Expenses</w:t>
            </w:r>
          </w:p>
        </w:tc>
      </w:tr>
      <w:tr w:rsidR="003264CA" w:rsidRPr="003264CA" w:rsidTr="00F84024">
        <w:tc>
          <w:tcPr>
            <w:tcW w:w="4788" w:type="dxa"/>
            <w:tcBorders>
              <w:top w:val="nil"/>
              <w:left w:val="single" w:sz="4" w:space="0" w:color="auto"/>
              <w:bottom w:val="single" w:sz="4" w:space="0" w:color="auto"/>
              <w:right w:val="nil"/>
            </w:tcBorders>
            <w:shd w:val="clear" w:color="auto" w:fill="auto"/>
          </w:tcPr>
          <w:p w:rsidR="003264CA" w:rsidRPr="003264CA" w:rsidRDefault="003264CA" w:rsidP="003264CA">
            <w:pPr>
              <w:numPr>
                <w:ilvl w:val="0"/>
                <w:numId w:val="23"/>
              </w:numPr>
              <w:spacing w:line="276" w:lineRule="auto"/>
              <w:jc w:val="both"/>
              <w:rPr>
                <w:rFonts w:ascii="Calibri" w:hAnsi="Calibri" w:cs="Arial"/>
                <w:szCs w:val="22"/>
              </w:rPr>
            </w:pPr>
            <w:r w:rsidRPr="003264CA">
              <w:rPr>
                <w:rFonts w:ascii="Calibri" w:hAnsi="Calibri" w:cs="Arial"/>
                <w:szCs w:val="22"/>
              </w:rPr>
              <w:t>Operations</w:t>
            </w:r>
          </w:p>
          <w:p w:rsidR="003264CA" w:rsidRPr="003264CA" w:rsidRDefault="003264CA" w:rsidP="003264CA">
            <w:pPr>
              <w:numPr>
                <w:ilvl w:val="0"/>
                <w:numId w:val="23"/>
              </w:numPr>
              <w:spacing w:line="276" w:lineRule="auto"/>
              <w:jc w:val="both"/>
              <w:rPr>
                <w:rFonts w:ascii="Calibri" w:hAnsi="Calibri" w:cs="Arial"/>
                <w:szCs w:val="22"/>
              </w:rPr>
            </w:pPr>
            <w:r w:rsidRPr="003264CA">
              <w:rPr>
                <w:rFonts w:ascii="Calibri" w:hAnsi="Calibri" w:cs="Arial"/>
                <w:szCs w:val="22"/>
              </w:rPr>
              <w:t>Maintenance</w:t>
            </w:r>
          </w:p>
          <w:p w:rsidR="003264CA" w:rsidRPr="003264CA" w:rsidRDefault="003264CA" w:rsidP="003264CA">
            <w:pPr>
              <w:numPr>
                <w:ilvl w:val="0"/>
                <w:numId w:val="23"/>
              </w:numPr>
              <w:spacing w:line="276" w:lineRule="auto"/>
              <w:jc w:val="both"/>
              <w:rPr>
                <w:rFonts w:ascii="Calibri" w:hAnsi="Calibri" w:cs="Arial"/>
                <w:szCs w:val="22"/>
              </w:rPr>
            </w:pPr>
            <w:r w:rsidRPr="003264CA">
              <w:rPr>
                <w:rFonts w:ascii="Calibri" w:hAnsi="Calibri" w:cs="Arial"/>
                <w:szCs w:val="22"/>
              </w:rPr>
              <w:t>Insurance</w:t>
            </w:r>
          </w:p>
        </w:tc>
        <w:tc>
          <w:tcPr>
            <w:tcW w:w="4788" w:type="dxa"/>
            <w:tcBorders>
              <w:left w:val="nil"/>
            </w:tcBorders>
            <w:shd w:val="clear" w:color="auto" w:fill="auto"/>
          </w:tcPr>
          <w:p w:rsidR="003264CA" w:rsidRPr="003264CA" w:rsidRDefault="003264CA" w:rsidP="003264CA">
            <w:pPr>
              <w:numPr>
                <w:ilvl w:val="0"/>
                <w:numId w:val="23"/>
              </w:numPr>
              <w:spacing w:line="276" w:lineRule="auto"/>
              <w:jc w:val="both"/>
              <w:rPr>
                <w:rFonts w:ascii="Calibri" w:hAnsi="Calibri" w:cs="Arial"/>
                <w:szCs w:val="22"/>
              </w:rPr>
            </w:pPr>
            <w:r w:rsidRPr="003264CA">
              <w:rPr>
                <w:rFonts w:ascii="Calibri" w:hAnsi="Calibri" w:cs="Arial"/>
                <w:szCs w:val="22"/>
              </w:rPr>
              <w:t>Utilities</w:t>
            </w:r>
          </w:p>
          <w:p w:rsidR="003264CA" w:rsidRPr="003264CA" w:rsidRDefault="003264CA" w:rsidP="003264CA">
            <w:pPr>
              <w:numPr>
                <w:ilvl w:val="0"/>
                <w:numId w:val="23"/>
              </w:numPr>
              <w:spacing w:line="276" w:lineRule="auto"/>
              <w:jc w:val="both"/>
              <w:rPr>
                <w:rFonts w:ascii="Calibri" w:hAnsi="Calibri" w:cs="Arial"/>
                <w:szCs w:val="22"/>
              </w:rPr>
            </w:pPr>
            <w:r w:rsidRPr="003264CA">
              <w:rPr>
                <w:rFonts w:ascii="Calibri" w:hAnsi="Calibri" w:cs="Arial"/>
                <w:szCs w:val="22"/>
              </w:rPr>
              <w:t>Furnishings</w:t>
            </w:r>
          </w:p>
        </w:tc>
      </w:tr>
      <w:tr w:rsidR="00E11A9B" w:rsidRPr="003264CA" w:rsidTr="00C97CD0">
        <w:tc>
          <w:tcPr>
            <w:tcW w:w="9576" w:type="dxa"/>
            <w:gridSpan w:val="2"/>
            <w:shd w:val="clear" w:color="auto" w:fill="D9D9D9"/>
          </w:tcPr>
          <w:p w:rsidR="00E11A9B" w:rsidRPr="003264CA" w:rsidRDefault="00E11A9B" w:rsidP="00C97CD0">
            <w:pPr>
              <w:spacing w:line="276" w:lineRule="auto"/>
              <w:jc w:val="center"/>
              <w:rPr>
                <w:rFonts w:ascii="Calibri" w:hAnsi="Calibri" w:cs="Arial"/>
                <w:b/>
                <w:szCs w:val="22"/>
              </w:rPr>
            </w:pPr>
            <w:r>
              <w:rPr>
                <w:rFonts w:ascii="Calibri" w:hAnsi="Calibri" w:cs="Arial"/>
                <w:b/>
                <w:szCs w:val="22"/>
              </w:rPr>
              <w:t>Street Outreach</w:t>
            </w:r>
          </w:p>
        </w:tc>
      </w:tr>
      <w:tr w:rsidR="00E11A9B" w:rsidRPr="003264CA" w:rsidTr="00C97CD0">
        <w:tc>
          <w:tcPr>
            <w:tcW w:w="4788" w:type="dxa"/>
            <w:tcBorders>
              <w:top w:val="nil"/>
              <w:left w:val="single" w:sz="4" w:space="0" w:color="auto"/>
              <w:bottom w:val="single" w:sz="4" w:space="0" w:color="auto"/>
              <w:right w:val="nil"/>
            </w:tcBorders>
            <w:shd w:val="clear" w:color="auto" w:fill="auto"/>
          </w:tcPr>
          <w:p w:rsidR="00E11A9B" w:rsidRDefault="00E11A9B" w:rsidP="00C97CD0">
            <w:pPr>
              <w:numPr>
                <w:ilvl w:val="0"/>
                <w:numId w:val="23"/>
              </w:numPr>
              <w:spacing w:line="276" w:lineRule="auto"/>
              <w:jc w:val="both"/>
              <w:rPr>
                <w:rFonts w:ascii="Calibri" w:hAnsi="Calibri" w:cs="Arial"/>
                <w:szCs w:val="22"/>
              </w:rPr>
            </w:pPr>
            <w:r>
              <w:rPr>
                <w:rFonts w:ascii="Calibri" w:hAnsi="Calibri" w:cs="Arial"/>
                <w:szCs w:val="22"/>
              </w:rPr>
              <w:t>Engagement</w:t>
            </w:r>
          </w:p>
          <w:p w:rsidR="00E11A9B" w:rsidRPr="003264CA" w:rsidRDefault="00F5029E" w:rsidP="00F5029E">
            <w:pPr>
              <w:numPr>
                <w:ilvl w:val="0"/>
                <w:numId w:val="23"/>
              </w:numPr>
              <w:spacing w:line="276" w:lineRule="auto"/>
              <w:jc w:val="both"/>
              <w:rPr>
                <w:rFonts w:ascii="Calibri" w:hAnsi="Calibri" w:cs="Arial"/>
                <w:szCs w:val="22"/>
              </w:rPr>
            </w:pPr>
            <w:r>
              <w:rPr>
                <w:rFonts w:ascii="Calibri" w:hAnsi="Calibri" w:cs="Arial"/>
                <w:szCs w:val="22"/>
              </w:rPr>
              <w:t>Housing-focused c</w:t>
            </w:r>
            <w:r w:rsidR="00E11A9B">
              <w:rPr>
                <w:rFonts w:ascii="Calibri" w:hAnsi="Calibri" w:cs="Arial"/>
                <w:szCs w:val="22"/>
              </w:rPr>
              <w:t>ase management</w:t>
            </w:r>
          </w:p>
        </w:tc>
        <w:tc>
          <w:tcPr>
            <w:tcW w:w="4788" w:type="dxa"/>
            <w:tcBorders>
              <w:left w:val="nil"/>
            </w:tcBorders>
            <w:shd w:val="clear" w:color="auto" w:fill="auto"/>
          </w:tcPr>
          <w:p w:rsidR="00E11A9B" w:rsidRPr="003264CA" w:rsidRDefault="00E11A9B" w:rsidP="00E11A9B">
            <w:pPr>
              <w:spacing w:line="276" w:lineRule="auto"/>
              <w:ind w:left="720"/>
              <w:jc w:val="both"/>
              <w:rPr>
                <w:rFonts w:ascii="Calibri" w:hAnsi="Calibri" w:cs="Arial"/>
                <w:szCs w:val="22"/>
              </w:rPr>
            </w:pPr>
          </w:p>
        </w:tc>
      </w:tr>
    </w:tbl>
    <w:p w:rsidR="00632DAE" w:rsidRDefault="00632DAE" w:rsidP="003264CA">
      <w:pPr>
        <w:spacing w:line="276" w:lineRule="auto"/>
        <w:jc w:val="both"/>
        <w:rPr>
          <w:rFonts w:ascii="Calibri" w:hAnsi="Calibri" w:cs="Arial"/>
          <w:szCs w:val="22"/>
        </w:rPr>
      </w:pPr>
    </w:p>
    <w:p w:rsidR="003264CA" w:rsidRPr="003264CA" w:rsidRDefault="003264CA" w:rsidP="00A3435E">
      <w:pPr>
        <w:autoSpaceDE w:val="0"/>
        <w:autoSpaceDN w:val="0"/>
        <w:adjustRightInd w:val="0"/>
        <w:spacing w:after="120"/>
        <w:jc w:val="both"/>
        <w:rPr>
          <w:rFonts w:ascii="Calibri" w:hAnsi="Calibri" w:cs="Arial"/>
          <w:b/>
          <w:sz w:val="24"/>
          <w:szCs w:val="24"/>
          <w:u w:val="single"/>
        </w:rPr>
      </w:pPr>
      <w:r w:rsidRPr="003264CA">
        <w:rPr>
          <w:rFonts w:ascii="Calibri" w:hAnsi="Calibri" w:cs="Arial"/>
          <w:b/>
          <w:sz w:val="24"/>
          <w:szCs w:val="24"/>
          <w:u w:val="single"/>
        </w:rPr>
        <w:t>Area-Wide System Coordination</w:t>
      </w:r>
    </w:p>
    <w:p w:rsidR="003264CA" w:rsidRPr="003264CA" w:rsidRDefault="003264CA" w:rsidP="00A3435E">
      <w:pPr>
        <w:autoSpaceDE w:val="0"/>
        <w:autoSpaceDN w:val="0"/>
        <w:adjustRightInd w:val="0"/>
        <w:spacing w:after="120"/>
        <w:jc w:val="both"/>
        <w:rPr>
          <w:rFonts w:ascii="Calibri" w:hAnsi="Calibri" w:cs="Arial"/>
          <w:sz w:val="24"/>
          <w:szCs w:val="24"/>
        </w:rPr>
      </w:pPr>
      <w:r w:rsidRPr="003264CA">
        <w:rPr>
          <w:rFonts w:ascii="Calibri" w:hAnsi="Calibri" w:cs="Arial"/>
          <w:sz w:val="24"/>
          <w:szCs w:val="24"/>
        </w:rPr>
        <w:t>ESG rules require that the City and its ESG grant recipients coordinate efforts.  ESG subrecipients are required to participate in the Hampden County Continuum of Care.</w:t>
      </w:r>
    </w:p>
    <w:p w:rsidR="003264CA" w:rsidRPr="00CE68AD" w:rsidRDefault="003264CA" w:rsidP="00A3435E">
      <w:pPr>
        <w:autoSpaceDE w:val="0"/>
        <w:autoSpaceDN w:val="0"/>
        <w:adjustRightInd w:val="0"/>
        <w:spacing w:after="120"/>
        <w:jc w:val="both"/>
        <w:rPr>
          <w:rFonts w:ascii="Calibri" w:hAnsi="Calibri" w:cs="Arial"/>
          <w:sz w:val="24"/>
          <w:szCs w:val="24"/>
        </w:rPr>
      </w:pPr>
      <w:r w:rsidRPr="00EF6046">
        <w:rPr>
          <w:rFonts w:ascii="Calibri" w:hAnsi="Calibri" w:cs="Arial"/>
          <w:b/>
          <w:i/>
          <w:sz w:val="24"/>
          <w:szCs w:val="24"/>
        </w:rPr>
        <w:t>ESG subrecipients are required to participate in coordinated assessment</w:t>
      </w:r>
      <w:r w:rsidRPr="00EF6046">
        <w:rPr>
          <w:rFonts w:ascii="Calibri" w:hAnsi="Calibri" w:cs="Arial"/>
          <w:i/>
          <w:sz w:val="24"/>
          <w:szCs w:val="24"/>
        </w:rPr>
        <w:t>.</w:t>
      </w:r>
      <w:r w:rsidRPr="003264CA">
        <w:rPr>
          <w:rFonts w:ascii="Calibri" w:hAnsi="Calibri" w:cs="Arial"/>
          <w:sz w:val="24"/>
          <w:szCs w:val="24"/>
        </w:rPr>
        <w:t xml:space="preserve">  The CoC is currently refining</w:t>
      </w:r>
      <w:r w:rsidR="00F5029E">
        <w:rPr>
          <w:rFonts w:ascii="Calibri" w:hAnsi="Calibri" w:cs="Arial"/>
          <w:sz w:val="24"/>
          <w:szCs w:val="24"/>
        </w:rPr>
        <w:t xml:space="preserve"> coordinated entry </w:t>
      </w:r>
      <w:r w:rsidRPr="003264CA">
        <w:rPr>
          <w:rFonts w:ascii="Calibri" w:hAnsi="Calibri" w:cs="Arial"/>
          <w:sz w:val="24"/>
          <w:szCs w:val="24"/>
        </w:rPr>
        <w:t xml:space="preserve">screening tools and protocols, which </w:t>
      </w:r>
      <w:r w:rsidR="00F5029E">
        <w:rPr>
          <w:rFonts w:ascii="Calibri" w:hAnsi="Calibri" w:cs="Arial"/>
          <w:sz w:val="24"/>
          <w:szCs w:val="24"/>
        </w:rPr>
        <w:t xml:space="preserve">are expected to </w:t>
      </w:r>
      <w:r w:rsidRPr="003264CA">
        <w:rPr>
          <w:rFonts w:ascii="Calibri" w:hAnsi="Calibri" w:cs="Arial"/>
          <w:sz w:val="24"/>
          <w:szCs w:val="24"/>
        </w:rPr>
        <w:t>be in place by the time of grant awards</w:t>
      </w:r>
      <w:r w:rsidRPr="00CE68AD">
        <w:rPr>
          <w:rFonts w:ascii="Calibri" w:hAnsi="Calibri" w:cs="Arial"/>
          <w:sz w:val="24"/>
          <w:szCs w:val="24"/>
        </w:rPr>
        <w:t>.  For FY1</w:t>
      </w:r>
      <w:r w:rsidR="00A3435E" w:rsidRPr="00CE68AD">
        <w:rPr>
          <w:rFonts w:ascii="Calibri" w:hAnsi="Calibri" w:cs="Arial"/>
          <w:sz w:val="24"/>
          <w:szCs w:val="24"/>
        </w:rPr>
        <w:t>5</w:t>
      </w:r>
      <w:r w:rsidRPr="00CE68AD">
        <w:rPr>
          <w:rFonts w:ascii="Calibri" w:hAnsi="Calibri" w:cs="Arial"/>
          <w:sz w:val="24"/>
          <w:szCs w:val="24"/>
        </w:rPr>
        <w:t>, subrecipients will only be permitted to provide rapid rehousing assistance to households that have been screened</w:t>
      </w:r>
      <w:r w:rsidR="00A3435E" w:rsidRPr="00CE68AD">
        <w:rPr>
          <w:rFonts w:ascii="Calibri" w:hAnsi="Calibri" w:cs="Arial"/>
          <w:sz w:val="24"/>
          <w:szCs w:val="24"/>
        </w:rPr>
        <w:t xml:space="preserve"> using a screening tool approved by the Hampden County Continuum of Care</w:t>
      </w:r>
      <w:r w:rsidRPr="00CE68AD">
        <w:rPr>
          <w:rFonts w:ascii="Calibri" w:hAnsi="Calibri" w:cs="Calibri-Bold"/>
          <w:bCs/>
          <w:szCs w:val="22"/>
        </w:rPr>
        <w:t>.</w:t>
      </w:r>
    </w:p>
    <w:p w:rsidR="003264CA" w:rsidRPr="00CE68AD" w:rsidRDefault="003264CA" w:rsidP="00A3435E">
      <w:pPr>
        <w:autoSpaceDE w:val="0"/>
        <w:autoSpaceDN w:val="0"/>
        <w:adjustRightInd w:val="0"/>
        <w:spacing w:after="120" w:line="276" w:lineRule="auto"/>
        <w:jc w:val="both"/>
        <w:rPr>
          <w:rFonts w:ascii="Calibri" w:hAnsi="Calibri" w:cs="Arial"/>
          <w:sz w:val="24"/>
          <w:szCs w:val="24"/>
        </w:rPr>
      </w:pPr>
      <w:r w:rsidRPr="00CE68AD">
        <w:rPr>
          <w:rFonts w:ascii="Calibri" w:hAnsi="Calibri" w:cs="Arial"/>
          <w:sz w:val="24"/>
          <w:szCs w:val="24"/>
        </w:rPr>
        <w:t xml:space="preserve">The City will require ESG subrecipients to adhere to common written standards which are detailed below.  Written standards </w:t>
      </w:r>
      <w:r w:rsidR="00A3435E" w:rsidRPr="00CE68AD">
        <w:rPr>
          <w:rFonts w:ascii="Calibri" w:hAnsi="Calibri" w:cs="Arial"/>
          <w:sz w:val="24"/>
          <w:szCs w:val="24"/>
        </w:rPr>
        <w:t>will be reviewed by the Hampden CoC during 2015 and may be subject to amendment.</w:t>
      </w:r>
    </w:p>
    <w:p w:rsidR="003264CA" w:rsidRPr="003264CA" w:rsidRDefault="003264CA" w:rsidP="00A3435E">
      <w:pPr>
        <w:autoSpaceDE w:val="0"/>
        <w:autoSpaceDN w:val="0"/>
        <w:adjustRightInd w:val="0"/>
        <w:spacing w:after="120" w:line="276" w:lineRule="auto"/>
        <w:jc w:val="both"/>
        <w:rPr>
          <w:rFonts w:ascii="Calibri" w:hAnsi="Calibri" w:cs="Arial"/>
          <w:b/>
          <w:sz w:val="24"/>
          <w:szCs w:val="24"/>
          <w:u w:val="single"/>
        </w:rPr>
      </w:pPr>
      <w:r w:rsidRPr="003264CA">
        <w:rPr>
          <w:rFonts w:ascii="Calibri" w:hAnsi="Calibri" w:cs="Arial"/>
          <w:b/>
          <w:sz w:val="24"/>
          <w:szCs w:val="24"/>
          <w:u w:val="single"/>
        </w:rPr>
        <w:t>Springfield CoC Common Written Standards for ESG</w:t>
      </w:r>
    </w:p>
    <w:p w:rsidR="003264CA" w:rsidRPr="003264CA" w:rsidRDefault="003264CA" w:rsidP="003264CA">
      <w:pPr>
        <w:numPr>
          <w:ilvl w:val="0"/>
          <w:numId w:val="14"/>
        </w:numPr>
        <w:spacing w:after="180"/>
        <w:jc w:val="both"/>
        <w:rPr>
          <w:rFonts w:ascii="Calibri" w:hAnsi="Calibri"/>
          <w:b/>
          <w:sz w:val="24"/>
          <w:szCs w:val="24"/>
        </w:rPr>
      </w:pPr>
      <w:r w:rsidRPr="003264CA">
        <w:rPr>
          <w:rFonts w:ascii="Calibri" w:hAnsi="Calibri"/>
          <w:b/>
          <w:sz w:val="24"/>
          <w:szCs w:val="24"/>
        </w:rPr>
        <w:t>Standard policies and procedures for evaluating individuals’ and families’ eligibility for assistance.</w:t>
      </w:r>
    </w:p>
    <w:p w:rsidR="003264CA" w:rsidRPr="003264CA" w:rsidRDefault="003264CA" w:rsidP="00CE68AD">
      <w:pPr>
        <w:numPr>
          <w:ilvl w:val="0"/>
          <w:numId w:val="15"/>
        </w:numPr>
        <w:spacing w:after="120"/>
        <w:jc w:val="both"/>
        <w:rPr>
          <w:rFonts w:ascii="Calibri" w:hAnsi="Calibri"/>
          <w:sz w:val="24"/>
          <w:szCs w:val="24"/>
        </w:rPr>
      </w:pPr>
      <w:r w:rsidRPr="003264CA">
        <w:rPr>
          <w:rFonts w:ascii="Calibri" w:hAnsi="Calibri"/>
          <w:sz w:val="24"/>
          <w:szCs w:val="24"/>
        </w:rPr>
        <w:t>Eligibility must be determined using a common assessment tool.</w:t>
      </w:r>
    </w:p>
    <w:p w:rsidR="003264CA" w:rsidRPr="003264CA" w:rsidRDefault="003264CA" w:rsidP="00CE68AD">
      <w:pPr>
        <w:numPr>
          <w:ilvl w:val="0"/>
          <w:numId w:val="15"/>
        </w:numPr>
        <w:spacing w:after="120"/>
        <w:jc w:val="both"/>
        <w:rPr>
          <w:rFonts w:ascii="Calibri" w:hAnsi="Calibri"/>
          <w:sz w:val="24"/>
          <w:szCs w:val="24"/>
        </w:rPr>
      </w:pPr>
      <w:r w:rsidRPr="003264CA">
        <w:rPr>
          <w:rFonts w:ascii="Calibri" w:hAnsi="Calibri"/>
          <w:sz w:val="24"/>
          <w:szCs w:val="24"/>
        </w:rPr>
        <w:t>Must be currently homeless or at risk of homelessness as defined in 24 CFR § 576.2.</w:t>
      </w:r>
      <w:r w:rsidRPr="003264CA">
        <w:rPr>
          <w:rFonts w:ascii="Calibri" w:hAnsi="Calibri"/>
          <w:sz w:val="24"/>
          <w:szCs w:val="24"/>
          <w:vertAlign w:val="superscript"/>
        </w:rPr>
        <w:footnoteReference w:id="1"/>
      </w:r>
    </w:p>
    <w:p w:rsidR="003264CA" w:rsidRPr="003264CA" w:rsidRDefault="003264CA" w:rsidP="00CE68AD">
      <w:pPr>
        <w:numPr>
          <w:ilvl w:val="0"/>
          <w:numId w:val="15"/>
        </w:numPr>
        <w:spacing w:after="120"/>
        <w:jc w:val="both"/>
        <w:rPr>
          <w:rFonts w:ascii="Calibri" w:hAnsi="Calibri"/>
          <w:sz w:val="24"/>
          <w:szCs w:val="24"/>
        </w:rPr>
      </w:pPr>
      <w:r w:rsidRPr="003264CA">
        <w:rPr>
          <w:rFonts w:ascii="Calibri" w:hAnsi="Calibri"/>
          <w:sz w:val="24"/>
          <w:szCs w:val="24"/>
        </w:rPr>
        <w:lastRenderedPageBreak/>
        <w:t>Case files must include a completed eligibility form and certification (which meets HUD specifications) that the household meets the eligibility criteria.</w:t>
      </w:r>
    </w:p>
    <w:p w:rsidR="003264CA" w:rsidRPr="003264CA" w:rsidRDefault="003264CA" w:rsidP="00CE68AD">
      <w:pPr>
        <w:numPr>
          <w:ilvl w:val="0"/>
          <w:numId w:val="15"/>
        </w:numPr>
        <w:spacing w:after="120"/>
        <w:jc w:val="both"/>
        <w:rPr>
          <w:rFonts w:ascii="Calibri" w:hAnsi="Calibri"/>
          <w:sz w:val="24"/>
          <w:szCs w:val="24"/>
        </w:rPr>
      </w:pPr>
      <w:r w:rsidRPr="003264CA">
        <w:rPr>
          <w:rFonts w:ascii="Calibri" w:hAnsi="Calibri"/>
          <w:sz w:val="24"/>
          <w:szCs w:val="24"/>
        </w:rPr>
        <w:t>For households meeting the definition of “at risk of homelessness”, case files must include all documentation required by 24 CFR § 576.500.</w:t>
      </w:r>
    </w:p>
    <w:p w:rsidR="003264CA" w:rsidRPr="003264CA" w:rsidRDefault="003264CA" w:rsidP="00CE68AD">
      <w:pPr>
        <w:numPr>
          <w:ilvl w:val="0"/>
          <w:numId w:val="15"/>
        </w:numPr>
        <w:spacing w:after="120"/>
        <w:jc w:val="both"/>
        <w:rPr>
          <w:rFonts w:ascii="Calibri" w:hAnsi="Calibri"/>
          <w:sz w:val="24"/>
          <w:szCs w:val="24"/>
        </w:rPr>
      </w:pPr>
      <w:r w:rsidRPr="003264CA">
        <w:rPr>
          <w:rFonts w:ascii="Calibri" w:hAnsi="Calibri"/>
          <w:sz w:val="24"/>
          <w:szCs w:val="24"/>
        </w:rPr>
        <w:t>For each individual and family determined ineligible to receive ESG assistance, the record must include documentation of the reason for that determination.</w:t>
      </w:r>
    </w:p>
    <w:p w:rsidR="003264CA" w:rsidRPr="003264CA" w:rsidRDefault="003264CA" w:rsidP="00CE68AD">
      <w:pPr>
        <w:numPr>
          <w:ilvl w:val="0"/>
          <w:numId w:val="15"/>
        </w:numPr>
        <w:spacing w:after="120"/>
        <w:jc w:val="both"/>
        <w:rPr>
          <w:rFonts w:ascii="Calibri" w:hAnsi="Calibri"/>
          <w:sz w:val="24"/>
          <w:szCs w:val="24"/>
        </w:rPr>
      </w:pPr>
      <w:r w:rsidRPr="003264CA">
        <w:rPr>
          <w:rFonts w:ascii="Calibri" w:hAnsi="Calibri"/>
          <w:sz w:val="24"/>
          <w:szCs w:val="24"/>
        </w:rPr>
        <w:t>Records must be kept for each program participant that document: the services and assistance provided to that program participant; compliance with requirements under 24 CFR §§ 576.101-106, 576.401 (a) and (b), and 576.401 (d) and (e); and, where applicable, compliance with the termination of assistance requirement in § 576.402.</w:t>
      </w:r>
    </w:p>
    <w:p w:rsidR="003264CA" w:rsidRPr="003264CA" w:rsidRDefault="003264CA" w:rsidP="00CE68AD">
      <w:pPr>
        <w:numPr>
          <w:ilvl w:val="0"/>
          <w:numId w:val="15"/>
        </w:numPr>
        <w:spacing w:after="120"/>
        <w:jc w:val="both"/>
        <w:rPr>
          <w:rFonts w:ascii="Calibri" w:hAnsi="Calibri"/>
          <w:sz w:val="24"/>
          <w:szCs w:val="24"/>
        </w:rPr>
      </w:pPr>
      <w:r w:rsidRPr="003264CA">
        <w:rPr>
          <w:rFonts w:ascii="Calibri" w:hAnsi="Calibri"/>
          <w:b/>
          <w:sz w:val="24"/>
          <w:szCs w:val="24"/>
        </w:rPr>
        <w:t xml:space="preserve">Eligible Uses of Funds:  </w:t>
      </w:r>
      <w:r w:rsidRPr="003264CA">
        <w:rPr>
          <w:rFonts w:ascii="Calibri" w:hAnsi="Calibri"/>
          <w:sz w:val="24"/>
          <w:szCs w:val="24"/>
        </w:rPr>
        <w:t>Funds may be used</w:t>
      </w:r>
      <w:r w:rsidRPr="003264CA">
        <w:rPr>
          <w:rFonts w:ascii="Calibri" w:hAnsi="Calibri"/>
          <w:b/>
          <w:sz w:val="24"/>
          <w:szCs w:val="24"/>
        </w:rPr>
        <w:t xml:space="preserve"> </w:t>
      </w:r>
      <w:r w:rsidRPr="003264CA">
        <w:rPr>
          <w:rFonts w:ascii="Calibri" w:hAnsi="Calibri"/>
          <w:sz w:val="24"/>
          <w:szCs w:val="24"/>
        </w:rPr>
        <w:t>for security deposit, last months’ rent, utility payments/deposits, moving cost assistance, and short-term or medium-term rental assistance (including first months’ rent).  Funds may not be used to pay eviction court costs, even where payment of these costs is part of an agreement to preserve a tenancy.  Funds may be paid only to a third-party provider; they may not be provided directly to the person applying for assistance.  Funds may be used for a Springfield-connected household to move outside of Springfield.</w:t>
      </w:r>
    </w:p>
    <w:p w:rsidR="003264CA" w:rsidRPr="003264CA" w:rsidRDefault="003264CA" w:rsidP="00CE68AD">
      <w:pPr>
        <w:numPr>
          <w:ilvl w:val="0"/>
          <w:numId w:val="14"/>
        </w:numPr>
        <w:spacing w:after="120"/>
        <w:jc w:val="both"/>
        <w:rPr>
          <w:rFonts w:ascii="Calibri" w:hAnsi="Calibri"/>
          <w:b/>
          <w:sz w:val="24"/>
          <w:szCs w:val="24"/>
        </w:rPr>
      </w:pPr>
      <w:r w:rsidRPr="003264CA">
        <w:rPr>
          <w:rFonts w:ascii="Calibri" w:hAnsi="Calibri"/>
          <w:b/>
          <w:sz w:val="24"/>
          <w:szCs w:val="24"/>
        </w:rPr>
        <w:t>Policies and procedures for coordination among emergency shelter providers, essential service providers, homelessness prevention and other homeless assistance providers, and mainstream service and housing providers.</w:t>
      </w:r>
    </w:p>
    <w:p w:rsidR="003264CA" w:rsidRPr="003264CA" w:rsidRDefault="003264CA" w:rsidP="00CE68AD">
      <w:pPr>
        <w:numPr>
          <w:ilvl w:val="0"/>
          <w:numId w:val="16"/>
        </w:numPr>
        <w:spacing w:after="120"/>
        <w:jc w:val="both"/>
        <w:rPr>
          <w:rFonts w:ascii="Calibri" w:hAnsi="Calibri"/>
          <w:b/>
          <w:sz w:val="24"/>
          <w:szCs w:val="24"/>
        </w:rPr>
      </w:pPr>
      <w:r w:rsidRPr="003264CA">
        <w:rPr>
          <w:rFonts w:ascii="Calibri" w:hAnsi="Calibri"/>
          <w:sz w:val="24"/>
          <w:szCs w:val="24"/>
        </w:rPr>
        <w:t xml:space="preserve">Providers of ESG prevention/diversion and rapid rehousing assistance must: </w:t>
      </w:r>
    </w:p>
    <w:p w:rsidR="003264CA" w:rsidRPr="003264CA" w:rsidRDefault="003264CA" w:rsidP="00A3435E">
      <w:pPr>
        <w:numPr>
          <w:ilvl w:val="1"/>
          <w:numId w:val="16"/>
        </w:numPr>
        <w:spacing w:after="120"/>
        <w:jc w:val="both"/>
        <w:rPr>
          <w:rFonts w:ascii="Calibri" w:hAnsi="Calibri"/>
          <w:b/>
          <w:sz w:val="24"/>
          <w:szCs w:val="24"/>
        </w:rPr>
      </w:pPr>
      <w:r w:rsidRPr="003264CA">
        <w:rPr>
          <w:rFonts w:ascii="Calibri" w:hAnsi="Calibri"/>
          <w:sz w:val="24"/>
          <w:szCs w:val="24"/>
        </w:rPr>
        <w:t>make assistance available to all eligible Springfield households without regard to what agency provides shelter to the household;</w:t>
      </w:r>
    </w:p>
    <w:p w:rsidR="003264CA" w:rsidRPr="003264CA" w:rsidRDefault="003264CA" w:rsidP="00A3435E">
      <w:pPr>
        <w:numPr>
          <w:ilvl w:val="1"/>
          <w:numId w:val="16"/>
        </w:numPr>
        <w:spacing w:after="120"/>
        <w:jc w:val="both"/>
        <w:rPr>
          <w:rFonts w:ascii="Calibri" w:hAnsi="Calibri"/>
          <w:b/>
          <w:sz w:val="24"/>
          <w:szCs w:val="24"/>
        </w:rPr>
      </w:pPr>
      <w:r w:rsidRPr="003264CA">
        <w:rPr>
          <w:rFonts w:ascii="Calibri" w:hAnsi="Calibri"/>
          <w:sz w:val="24"/>
          <w:szCs w:val="24"/>
        </w:rPr>
        <w:t xml:space="preserve">provide clear guidance to other Springfield providers about eligibility requirements and how to access assistance; and </w:t>
      </w:r>
    </w:p>
    <w:p w:rsidR="003264CA" w:rsidRPr="003264CA" w:rsidRDefault="003264CA" w:rsidP="003264CA">
      <w:pPr>
        <w:numPr>
          <w:ilvl w:val="1"/>
          <w:numId w:val="16"/>
        </w:numPr>
        <w:spacing w:after="180"/>
        <w:jc w:val="both"/>
        <w:rPr>
          <w:rFonts w:ascii="Calibri" w:hAnsi="Calibri"/>
          <w:b/>
          <w:sz w:val="24"/>
          <w:szCs w:val="24"/>
        </w:rPr>
      </w:pPr>
      <w:r w:rsidRPr="003264CA">
        <w:rPr>
          <w:rFonts w:ascii="Calibri" w:hAnsi="Calibri"/>
          <w:sz w:val="24"/>
          <w:szCs w:val="24"/>
        </w:rPr>
        <w:t>undertake targeted outreach to providers who serve victims of domestic violence, and create clear pathways for their clients to access assistance.</w:t>
      </w:r>
    </w:p>
    <w:p w:rsidR="00CE68AD" w:rsidRDefault="00CE68AD">
      <w:pPr>
        <w:rPr>
          <w:rFonts w:ascii="Calibri" w:hAnsi="Calibri"/>
          <w:b/>
          <w:sz w:val="24"/>
          <w:szCs w:val="24"/>
        </w:rPr>
      </w:pPr>
      <w:r>
        <w:rPr>
          <w:rFonts w:ascii="Calibri" w:hAnsi="Calibri"/>
          <w:b/>
          <w:sz w:val="24"/>
          <w:szCs w:val="24"/>
        </w:rPr>
        <w:br w:type="page"/>
      </w:r>
    </w:p>
    <w:p w:rsidR="003264CA" w:rsidRPr="003264CA" w:rsidRDefault="003264CA" w:rsidP="00CE68AD">
      <w:pPr>
        <w:numPr>
          <w:ilvl w:val="0"/>
          <w:numId w:val="14"/>
        </w:numPr>
        <w:spacing w:after="120"/>
        <w:jc w:val="both"/>
        <w:rPr>
          <w:rFonts w:ascii="Calibri" w:hAnsi="Calibri"/>
          <w:b/>
          <w:sz w:val="24"/>
          <w:szCs w:val="24"/>
        </w:rPr>
      </w:pPr>
      <w:r w:rsidRPr="003264CA">
        <w:rPr>
          <w:rFonts w:ascii="Calibri" w:hAnsi="Calibri"/>
          <w:b/>
          <w:sz w:val="24"/>
          <w:szCs w:val="24"/>
        </w:rPr>
        <w:lastRenderedPageBreak/>
        <w:t>Policies and procedures for determining and prioritizing which eligible families and individuals will receive homelessness prevention assistance and which eligible families will receive rapid re-housing assistance.</w:t>
      </w:r>
    </w:p>
    <w:p w:rsidR="003264CA" w:rsidRPr="003264CA" w:rsidRDefault="003264CA" w:rsidP="00CE68AD">
      <w:pPr>
        <w:numPr>
          <w:ilvl w:val="0"/>
          <w:numId w:val="17"/>
        </w:numPr>
        <w:spacing w:after="120"/>
        <w:jc w:val="both"/>
        <w:rPr>
          <w:rFonts w:ascii="Calibri" w:hAnsi="Calibri"/>
          <w:sz w:val="24"/>
          <w:szCs w:val="24"/>
        </w:rPr>
      </w:pPr>
      <w:r w:rsidRPr="003264CA">
        <w:rPr>
          <w:rFonts w:ascii="Calibri" w:hAnsi="Calibri"/>
          <w:sz w:val="24"/>
          <w:szCs w:val="24"/>
        </w:rPr>
        <w:t xml:space="preserve">Assistance may be provided only to households with income at or below 30% of area median income; </w:t>
      </w:r>
    </w:p>
    <w:p w:rsidR="003264CA" w:rsidRPr="003264CA" w:rsidRDefault="003264CA" w:rsidP="00CE68AD">
      <w:pPr>
        <w:numPr>
          <w:ilvl w:val="0"/>
          <w:numId w:val="17"/>
        </w:numPr>
        <w:spacing w:after="120"/>
        <w:jc w:val="both"/>
        <w:rPr>
          <w:rFonts w:ascii="Calibri" w:hAnsi="Calibri"/>
          <w:sz w:val="24"/>
          <w:szCs w:val="24"/>
        </w:rPr>
      </w:pPr>
      <w:r w:rsidRPr="003264CA">
        <w:rPr>
          <w:rFonts w:ascii="Calibri" w:hAnsi="Calibri"/>
          <w:sz w:val="24"/>
          <w:szCs w:val="24"/>
        </w:rPr>
        <w:t>Rapid rehousing assistance may be provided only where the CoC’s common eligibilit</w:t>
      </w:r>
      <w:r w:rsidR="00A3435E">
        <w:rPr>
          <w:rFonts w:ascii="Calibri" w:hAnsi="Calibri"/>
          <w:sz w:val="24"/>
          <w:szCs w:val="24"/>
        </w:rPr>
        <w:t>y assessment tool</w:t>
      </w:r>
      <w:r w:rsidRPr="003264CA">
        <w:rPr>
          <w:rFonts w:ascii="Calibri" w:hAnsi="Calibri"/>
          <w:sz w:val="24"/>
          <w:szCs w:val="24"/>
        </w:rPr>
        <w:t xml:space="preserve"> indicates that the household is appropriate for rapid rehousing assistance.</w:t>
      </w:r>
    </w:p>
    <w:p w:rsidR="003264CA" w:rsidRPr="003264CA" w:rsidRDefault="003264CA" w:rsidP="00F5029E">
      <w:pPr>
        <w:numPr>
          <w:ilvl w:val="0"/>
          <w:numId w:val="17"/>
        </w:numPr>
        <w:spacing w:after="60"/>
        <w:jc w:val="both"/>
        <w:rPr>
          <w:rFonts w:ascii="Calibri" w:hAnsi="Calibri"/>
          <w:sz w:val="24"/>
          <w:szCs w:val="24"/>
        </w:rPr>
      </w:pPr>
      <w:r w:rsidRPr="003264CA">
        <w:rPr>
          <w:rFonts w:ascii="Calibri" w:hAnsi="Calibri"/>
          <w:sz w:val="24"/>
          <w:szCs w:val="24"/>
        </w:rPr>
        <w:t>Prevention funds may be provided only where:</w:t>
      </w:r>
    </w:p>
    <w:p w:rsidR="003264CA" w:rsidRPr="003264CA" w:rsidRDefault="003264CA" w:rsidP="00A3435E">
      <w:pPr>
        <w:numPr>
          <w:ilvl w:val="1"/>
          <w:numId w:val="17"/>
        </w:numPr>
        <w:spacing w:after="120"/>
        <w:jc w:val="both"/>
        <w:rPr>
          <w:rFonts w:ascii="Calibri" w:hAnsi="Calibri"/>
          <w:sz w:val="24"/>
          <w:szCs w:val="24"/>
        </w:rPr>
      </w:pPr>
      <w:r w:rsidRPr="003264CA">
        <w:rPr>
          <w:rFonts w:ascii="Calibri" w:hAnsi="Calibri"/>
          <w:sz w:val="24"/>
          <w:szCs w:val="24"/>
        </w:rPr>
        <w:t xml:space="preserve">there is a pending eviction case filed in court; </w:t>
      </w:r>
    </w:p>
    <w:p w:rsidR="003264CA" w:rsidRPr="003264CA" w:rsidRDefault="00F5029E" w:rsidP="00A3435E">
      <w:pPr>
        <w:numPr>
          <w:ilvl w:val="1"/>
          <w:numId w:val="17"/>
        </w:numPr>
        <w:spacing w:after="120"/>
        <w:jc w:val="both"/>
        <w:rPr>
          <w:rFonts w:ascii="Calibri" w:hAnsi="Calibri"/>
          <w:sz w:val="24"/>
          <w:szCs w:val="24"/>
        </w:rPr>
      </w:pPr>
      <w:r>
        <w:rPr>
          <w:rFonts w:ascii="Calibri" w:hAnsi="Calibri"/>
          <w:sz w:val="24"/>
          <w:szCs w:val="24"/>
        </w:rPr>
        <w:t>the agreement to pay funds will</w:t>
      </w:r>
      <w:r w:rsidR="003264CA" w:rsidRPr="003264CA">
        <w:rPr>
          <w:rFonts w:ascii="Calibri" w:hAnsi="Calibri"/>
          <w:sz w:val="24"/>
          <w:szCs w:val="24"/>
        </w:rPr>
        <w:t xml:space="preserve"> be included in a court judgment which preserves the tenancy; and </w:t>
      </w:r>
    </w:p>
    <w:p w:rsidR="003264CA" w:rsidRPr="003264CA" w:rsidRDefault="003264CA" w:rsidP="00CE68AD">
      <w:pPr>
        <w:numPr>
          <w:ilvl w:val="1"/>
          <w:numId w:val="17"/>
        </w:numPr>
        <w:spacing w:after="120"/>
        <w:jc w:val="both"/>
        <w:rPr>
          <w:rFonts w:ascii="Calibri" w:hAnsi="Calibri"/>
          <w:sz w:val="24"/>
          <w:szCs w:val="24"/>
        </w:rPr>
      </w:pPr>
      <w:r w:rsidRPr="003264CA">
        <w:rPr>
          <w:rFonts w:ascii="Calibri" w:hAnsi="Calibri"/>
          <w:sz w:val="24"/>
          <w:szCs w:val="24"/>
        </w:rPr>
        <w:t xml:space="preserve">the landlord verifies that the tenant will be able to continue the tenancy on an ongoing basis.  </w:t>
      </w:r>
    </w:p>
    <w:p w:rsidR="003264CA" w:rsidRPr="003264CA" w:rsidRDefault="003264CA" w:rsidP="00CE68AD">
      <w:pPr>
        <w:numPr>
          <w:ilvl w:val="0"/>
          <w:numId w:val="14"/>
        </w:numPr>
        <w:spacing w:after="120"/>
        <w:jc w:val="both"/>
        <w:rPr>
          <w:rFonts w:ascii="Calibri" w:hAnsi="Calibri"/>
          <w:b/>
          <w:sz w:val="24"/>
          <w:szCs w:val="24"/>
        </w:rPr>
      </w:pPr>
      <w:r w:rsidRPr="003264CA">
        <w:rPr>
          <w:rFonts w:ascii="Calibri" w:hAnsi="Calibri"/>
          <w:b/>
          <w:sz w:val="24"/>
          <w:szCs w:val="24"/>
        </w:rPr>
        <w:t>Standards for determining the share of rent and utilities costs that each program participant must pay, if any, while receiving homelessness prevention or rapid rehousing assistance.</w:t>
      </w:r>
    </w:p>
    <w:p w:rsidR="003264CA" w:rsidRPr="003264CA" w:rsidRDefault="003264CA" w:rsidP="00CE68AD">
      <w:pPr>
        <w:numPr>
          <w:ilvl w:val="0"/>
          <w:numId w:val="18"/>
        </w:numPr>
        <w:spacing w:after="120"/>
        <w:jc w:val="both"/>
        <w:rPr>
          <w:rFonts w:ascii="Calibri" w:hAnsi="Calibri"/>
          <w:b/>
          <w:sz w:val="24"/>
          <w:szCs w:val="24"/>
        </w:rPr>
      </w:pPr>
      <w:r w:rsidRPr="003264CA">
        <w:rPr>
          <w:rFonts w:ascii="Calibri" w:hAnsi="Calibri"/>
          <w:sz w:val="24"/>
          <w:szCs w:val="24"/>
        </w:rPr>
        <w:t xml:space="preserve">Program participants must pay a minimum of 30% of adjusted income for monthly rent, with the exception of the first months’ rent, for which ESG can pay up to the full amount.  </w:t>
      </w:r>
    </w:p>
    <w:p w:rsidR="003264CA" w:rsidRPr="003264CA" w:rsidRDefault="003264CA" w:rsidP="00CE68AD">
      <w:pPr>
        <w:numPr>
          <w:ilvl w:val="0"/>
          <w:numId w:val="14"/>
        </w:numPr>
        <w:spacing w:after="120"/>
        <w:jc w:val="both"/>
        <w:rPr>
          <w:rFonts w:ascii="Calibri" w:hAnsi="Calibri"/>
          <w:sz w:val="24"/>
          <w:szCs w:val="24"/>
        </w:rPr>
      </w:pPr>
      <w:r w:rsidRPr="003264CA">
        <w:rPr>
          <w:rFonts w:ascii="Calibri" w:hAnsi="Calibri"/>
          <w:b/>
          <w:sz w:val="24"/>
          <w:szCs w:val="24"/>
        </w:rPr>
        <w:t>Standards for determining how long a particular program participant will be provided with rental assistance and whether and how the amount of assistance will be adjusted over time</w:t>
      </w:r>
      <w:r w:rsidRPr="003264CA">
        <w:rPr>
          <w:rFonts w:ascii="Calibri" w:hAnsi="Calibri"/>
          <w:sz w:val="24"/>
          <w:szCs w:val="24"/>
        </w:rPr>
        <w:t>.</w:t>
      </w:r>
    </w:p>
    <w:p w:rsidR="003264CA" w:rsidRPr="003264CA" w:rsidRDefault="00A3435E" w:rsidP="00CE68AD">
      <w:pPr>
        <w:numPr>
          <w:ilvl w:val="0"/>
          <w:numId w:val="20"/>
        </w:numPr>
        <w:spacing w:after="120"/>
        <w:jc w:val="both"/>
        <w:rPr>
          <w:rFonts w:ascii="Calibri" w:hAnsi="Calibri"/>
          <w:sz w:val="24"/>
          <w:szCs w:val="24"/>
        </w:rPr>
      </w:pPr>
      <w:r>
        <w:rPr>
          <w:rFonts w:ascii="Calibri" w:hAnsi="Calibri"/>
          <w:sz w:val="24"/>
          <w:szCs w:val="24"/>
        </w:rPr>
        <w:t xml:space="preserve">Households may receive rapid rehousing assistance for up to a 24-month period. </w:t>
      </w:r>
      <w:r w:rsidR="003264CA" w:rsidRPr="003264CA">
        <w:rPr>
          <w:rFonts w:ascii="Calibri" w:hAnsi="Calibri"/>
          <w:sz w:val="24"/>
          <w:szCs w:val="24"/>
        </w:rPr>
        <w:t>Households may receive rapid rehousing assistance in three-month increments.  A household will initially be provided an initial 3 months of assistance.  A new evaluation must be conducted to determine if the household will be provided an initial three months’ assistance.  Each increment requires a new evaluation.</w:t>
      </w:r>
    </w:p>
    <w:p w:rsidR="003264CA" w:rsidRPr="003264CA" w:rsidRDefault="003264CA" w:rsidP="00CE68AD">
      <w:pPr>
        <w:numPr>
          <w:ilvl w:val="0"/>
          <w:numId w:val="14"/>
        </w:numPr>
        <w:spacing w:after="120"/>
        <w:jc w:val="both"/>
        <w:rPr>
          <w:rFonts w:ascii="Calibri" w:hAnsi="Calibri"/>
          <w:b/>
          <w:sz w:val="24"/>
          <w:szCs w:val="24"/>
        </w:rPr>
      </w:pPr>
      <w:r w:rsidRPr="003264CA">
        <w:rPr>
          <w:rFonts w:ascii="Calibri" w:hAnsi="Calibri"/>
          <w:b/>
          <w:sz w:val="24"/>
          <w:szCs w:val="24"/>
        </w:rPr>
        <w:t>Standards for determining the type, amount and duration of housing stabilization and/or relocation services to provide a program participant, including the limits, if any, on the homelessness prevention or rapid rehousing assistance that each program participant may receive, such as maximum amount of assistance, maximum number of months the program participant receives assistance; or the maximum number of times the program participant may receive assistance.</w:t>
      </w:r>
    </w:p>
    <w:p w:rsidR="003264CA" w:rsidRPr="003264CA" w:rsidRDefault="003264CA" w:rsidP="00CE68AD">
      <w:pPr>
        <w:numPr>
          <w:ilvl w:val="0"/>
          <w:numId w:val="19"/>
        </w:numPr>
        <w:spacing w:after="120"/>
        <w:jc w:val="both"/>
        <w:rPr>
          <w:rFonts w:ascii="Calibri" w:hAnsi="Calibri"/>
          <w:sz w:val="24"/>
          <w:szCs w:val="24"/>
        </w:rPr>
      </w:pPr>
      <w:r w:rsidRPr="003264CA">
        <w:rPr>
          <w:rFonts w:ascii="Calibri" w:hAnsi="Calibri"/>
          <w:sz w:val="24"/>
          <w:szCs w:val="24"/>
        </w:rPr>
        <w:t>The ESG program wil</w:t>
      </w:r>
      <w:r w:rsidR="00A3435E">
        <w:rPr>
          <w:rFonts w:ascii="Calibri" w:hAnsi="Calibri"/>
          <w:sz w:val="24"/>
          <w:szCs w:val="24"/>
        </w:rPr>
        <w:t>l not pay more than a total of 24</w:t>
      </w:r>
      <w:r w:rsidRPr="003264CA">
        <w:rPr>
          <w:rFonts w:ascii="Calibri" w:hAnsi="Calibri"/>
          <w:sz w:val="24"/>
          <w:szCs w:val="24"/>
        </w:rPr>
        <w:t xml:space="preserve"> months rental assistance for any program participant, and will not pay for more than 6 months of arrears.</w:t>
      </w:r>
    </w:p>
    <w:p w:rsidR="003264CA" w:rsidRPr="003264CA" w:rsidRDefault="003264CA" w:rsidP="00CE68AD">
      <w:pPr>
        <w:numPr>
          <w:ilvl w:val="0"/>
          <w:numId w:val="19"/>
        </w:numPr>
        <w:spacing w:after="120"/>
        <w:jc w:val="both"/>
        <w:rPr>
          <w:rFonts w:ascii="Calibri" w:hAnsi="Calibri"/>
          <w:sz w:val="24"/>
          <w:szCs w:val="24"/>
        </w:rPr>
      </w:pPr>
      <w:r w:rsidRPr="003264CA">
        <w:rPr>
          <w:rFonts w:ascii="Calibri" w:hAnsi="Calibri"/>
          <w:sz w:val="24"/>
          <w:szCs w:val="24"/>
        </w:rPr>
        <w:t>Program participants may not receive assistance more than one in any 12-month period.</w:t>
      </w:r>
    </w:p>
    <w:p w:rsidR="00CE68AD" w:rsidRDefault="00CE68AD">
      <w:pPr>
        <w:rPr>
          <w:rFonts w:ascii="Calibri" w:hAnsi="Calibri" w:cs="Arial"/>
          <w:b/>
          <w:sz w:val="24"/>
          <w:szCs w:val="24"/>
          <w:u w:val="single"/>
        </w:rPr>
      </w:pPr>
      <w:r>
        <w:rPr>
          <w:rFonts w:ascii="Calibri" w:hAnsi="Calibri" w:cs="Arial"/>
          <w:b/>
          <w:sz w:val="24"/>
          <w:szCs w:val="24"/>
          <w:u w:val="single"/>
        </w:rPr>
        <w:br w:type="page"/>
      </w:r>
    </w:p>
    <w:p w:rsidR="00EF6046" w:rsidRDefault="003264CA" w:rsidP="00EF6046">
      <w:pPr>
        <w:spacing w:before="240" w:after="120" w:line="276" w:lineRule="auto"/>
        <w:jc w:val="both"/>
        <w:rPr>
          <w:rFonts w:ascii="Calibri" w:hAnsi="Calibri" w:cs="Arial"/>
          <w:b/>
          <w:sz w:val="24"/>
          <w:szCs w:val="24"/>
          <w:u w:val="single"/>
        </w:rPr>
      </w:pPr>
      <w:r w:rsidRPr="003264CA">
        <w:rPr>
          <w:rFonts w:ascii="Calibri" w:hAnsi="Calibri" w:cs="Arial"/>
          <w:b/>
          <w:sz w:val="24"/>
          <w:szCs w:val="24"/>
          <w:u w:val="single"/>
        </w:rPr>
        <w:lastRenderedPageBreak/>
        <w:t>Match Requirement</w:t>
      </w:r>
    </w:p>
    <w:p w:rsidR="003264CA" w:rsidRPr="003264CA" w:rsidRDefault="003264CA" w:rsidP="00EF6046">
      <w:pPr>
        <w:spacing w:before="120" w:after="120" w:line="276" w:lineRule="auto"/>
        <w:jc w:val="both"/>
        <w:rPr>
          <w:rFonts w:ascii="Calibri" w:hAnsi="Calibri" w:cs="Arial"/>
          <w:sz w:val="24"/>
          <w:szCs w:val="24"/>
        </w:rPr>
      </w:pPr>
      <w:r w:rsidRPr="003264CA">
        <w:rPr>
          <w:rFonts w:ascii="Calibri" w:hAnsi="Calibri" w:cs="Arial"/>
          <w:sz w:val="24"/>
          <w:szCs w:val="24"/>
        </w:rPr>
        <w:t>ESG funds have a mandatory dollar for dollar match requirement.  When completing the budget, the ESG request may not exceed 50% of total project cost.  The match must be a non-ESG source, and the budget must list the sources and amounts of match funds.</w:t>
      </w:r>
    </w:p>
    <w:p w:rsidR="003264CA" w:rsidRPr="003264CA" w:rsidRDefault="003264CA" w:rsidP="00EF6046">
      <w:pPr>
        <w:spacing w:line="276" w:lineRule="auto"/>
        <w:jc w:val="both"/>
        <w:rPr>
          <w:rFonts w:ascii="Calibri" w:hAnsi="Calibri" w:cs="Arial"/>
          <w:sz w:val="24"/>
          <w:szCs w:val="24"/>
        </w:rPr>
      </w:pPr>
      <w:r w:rsidRPr="003264CA">
        <w:rPr>
          <w:rFonts w:ascii="Calibri" w:hAnsi="Calibri" w:cs="Arial"/>
          <w:sz w:val="24"/>
          <w:szCs w:val="24"/>
        </w:rPr>
        <w:t>Applicants chosen for fun</w:t>
      </w:r>
      <w:r w:rsidR="00F5029E">
        <w:rPr>
          <w:rFonts w:ascii="Calibri" w:hAnsi="Calibri" w:cs="Arial"/>
          <w:sz w:val="24"/>
          <w:szCs w:val="24"/>
        </w:rPr>
        <w:t>ding will be required to verify</w:t>
      </w:r>
      <w:r w:rsidRPr="003264CA">
        <w:rPr>
          <w:rFonts w:ascii="Calibri" w:hAnsi="Calibri" w:cs="Arial"/>
          <w:sz w:val="24"/>
          <w:szCs w:val="24"/>
        </w:rPr>
        <w:t xml:space="preserve"> its compliance with the match requirement.</w:t>
      </w:r>
    </w:p>
    <w:p w:rsidR="003264CA" w:rsidRPr="003264CA" w:rsidRDefault="003264CA" w:rsidP="00EF6046">
      <w:pPr>
        <w:spacing w:line="276" w:lineRule="auto"/>
        <w:jc w:val="both"/>
        <w:rPr>
          <w:rFonts w:ascii="Calibri" w:hAnsi="Calibri" w:cs="Arial"/>
          <w:sz w:val="24"/>
          <w:szCs w:val="24"/>
        </w:rPr>
      </w:pPr>
    </w:p>
    <w:p w:rsidR="003264CA" w:rsidRPr="003264CA" w:rsidRDefault="003264CA" w:rsidP="00EF6046">
      <w:pPr>
        <w:spacing w:after="120" w:line="276" w:lineRule="auto"/>
        <w:jc w:val="both"/>
        <w:rPr>
          <w:rFonts w:ascii="Calibri" w:hAnsi="Calibri" w:cs="Arial"/>
          <w:b/>
          <w:sz w:val="24"/>
          <w:szCs w:val="24"/>
          <w:u w:val="single"/>
        </w:rPr>
      </w:pPr>
      <w:r w:rsidRPr="003264CA">
        <w:rPr>
          <w:rFonts w:ascii="Calibri" w:hAnsi="Calibri" w:cs="Arial"/>
          <w:b/>
          <w:sz w:val="24"/>
          <w:szCs w:val="24"/>
          <w:u w:val="single"/>
        </w:rPr>
        <w:t>Participation of Homeless Individuals</w:t>
      </w:r>
    </w:p>
    <w:p w:rsidR="003264CA" w:rsidRPr="003264CA" w:rsidRDefault="003264CA" w:rsidP="00EF6046">
      <w:pPr>
        <w:spacing w:after="120" w:line="276" w:lineRule="auto"/>
        <w:jc w:val="both"/>
        <w:rPr>
          <w:rFonts w:ascii="Calibri" w:hAnsi="Calibri" w:cs="Arial"/>
          <w:sz w:val="24"/>
          <w:szCs w:val="24"/>
        </w:rPr>
      </w:pPr>
      <w:r w:rsidRPr="003264CA">
        <w:rPr>
          <w:rFonts w:ascii="Calibri" w:hAnsi="Calibri" w:cs="Arial"/>
          <w:sz w:val="24"/>
          <w:szCs w:val="24"/>
        </w:rPr>
        <w:t>Recipients of ESG funds must, to the maximum extent possible, involve, through employment, volunteer services or otherwise, homeless individuals and families in maintaining and operating facilities and in providing services.</w:t>
      </w:r>
    </w:p>
    <w:p w:rsidR="003264CA" w:rsidRPr="003264CA" w:rsidRDefault="003264CA" w:rsidP="00EF6046">
      <w:pPr>
        <w:spacing w:line="276" w:lineRule="auto"/>
        <w:jc w:val="both"/>
        <w:rPr>
          <w:rFonts w:ascii="Calibri" w:hAnsi="Calibri" w:cs="Arial"/>
          <w:sz w:val="24"/>
          <w:szCs w:val="24"/>
        </w:rPr>
      </w:pPr>
      <w:r w:rsidRPr="003264CA">
        <w:rPr>
          <w:rFonts w:ascii="Calibri" w:hAnsi="Calibri" w:cs="Arial"/>
          <w:sz w:val="24"/>
          <w:szCs w:val="24"/>
        </w:rPr>
        <w:t>Recipients of ESG funds must provide for participation of at least one homeless individual or former homeless individual on the board of directors or other equivalent policymaking entity of such recipient, or, if this is not possible, must explain why it is not possible and what substitute methods will be used to secure meaningful participation in policymaking for the program.</w:t>
      </w:r>
    </w:p>
    <w:p w:rsidR="003264CA" w:rsidRPr="003264CA" w:rsidRDefault="003264CA" w:rsidP="003264CA">
      <w:pPr>
        <w:spacing w:line="276" w:lineRule="auto"/>
        <w:ind w:left="360"/>
        <w:rPr>
          <w:rFonts w:ascii="Calibri" w:hAnsi="Calibri" w:cs="Arial"/>
          <w:sz w:val="24"/>
          <w:szCs w:val="24"/>
        </w:rPr>
      </w:pPr>
    </w:p>
    <w:p w:rsidR="003264CA" w:rsidRPr="003264CA" w:rsidRDefault="003264CA" w:rsidP="00EF6046">
      <w:pPr>
        <w:spacing w:after="120" w:line="276" w:lineRule="auto"/>
        <w:rPr>
          <w:rFonts w:ascii="Calibri" w:hAnsi="Calibri" w:cs="Arial"/>
          <w:b/>
          <w:sz w:val="24"/>
          <w:szCs w:val="24"/>
        </w:rPr>
      </w:pPr>
      <w:r w:rsidRPr="003264CA">
        <w:rPr>
          <w:rFonts w:ascii="Calibri" w:hAnsi="Calibri" w:cs="Arial"/>
          <w:b/>
          <w:sz w:val="24"/>
          <w:szCs w:val="24"/>
          <w:u w:val="single"/>
        </w:rPr>
        <w:t>Required HMIS Participation</w:t>
      </w:r>
      <w:r w:rsidRPr="003264CA">
        <w:rPr>
          <w:rFonts w:ascii="Calibri" w:hAnsi="Calibri" w:cs="Arial"/>
          <w:b/>
          <w:sz w:val="24"/>
          <w:szCs w:val="24"/>
        </w:rPr>
        <w:t xml:space="preserve"> </w:t>
      </w:r>
    </w:p>
    <w:p w:rsidR="003264CA" w:rsidRPr="003264CA" w:rsidRDefault="003264CA" w:rsidP="003264CA">
      <w:pPr>
        <w:spacing w:line="276" w:lineRule="auto"/>
        <w:jc w:val="both"/>
        <w:rPr>
          <w:rFonts w:ascii="Calibri" w:hAnsi="Calibri" w:cs="Arial"/>
          <w:sz w:val="24"/>
          <w:szCs w:val="24"/>
        </w:rPr>
      </w:pPr>
      <w:r w:rsidRPr="003264CA">
        <w:rPr>
          <w:rFonts w:ascii="Calibri" w:hAnsi="Calibri" w:cs="Arial"/>
          <w:sz w:val="24"/>
          <w:szCs w:val="24"/>
        </w:rPr>
        <w:t xml:space="preserve">ESG recipients are </w:t>
      </w:r>
      <w:r w:rsidRPr="003264CA">
        <w:rPr>
          <w:rFonts w:ascii="Calibri" w:hAnsi="Calibri" w:cs="Arial"/>
          <w:b/>
          <w:sz w:val="24"/>
          <w:szCs w:val="24"/>
        </w:rPr>
        <w:t>required</w:t>
      </w:r>
      <w:r w:rsidRPr="003264CA">
        <w:rPr>
          <w:rFonts w:ascii="Calibri" w:hAnsi="Calibri" w:cs="Arial"/>
          <w:sz w:val="24"/>
          <w:szCs w:val="24"/>
        </w:rPr>
        <w:t xml:space="preserve"> to p</w:t>
      </w:r>
      <w:r w:rsidR="00EF6046">
        <w:rPr>
          <w:rFonts w:ascii="Calibri" w:hAnsi="Calibri" w:cs="Arial"/>
          <w:sz w:val="24"/>
          <w:szCs w:val="24"/>
        </w:rPr>
        <w:t>rovide client-level data</w:t>
      </w:r>
      <w:r w:rsidRPr="003264CA">
        <w:rPr>
          <w:rFonts w:ascii="Calibri" w:hAnsi="Calibri" w:cs="Arial"/>
          <w:sz w:val="24"/>
          <w:szCs w:val="24"/>
        </w:rPr>
        <w:t xml:space="preserve"> </w:t>
      </w:r>
      <w:r w:rsidR="00EF6046">
        <w:rPr>
          <w:rFonts w:ascii="Calibri" w:hAnsi="Calibri" w:cs="Arial"/>
          <w:sz w:val="24"/>
          <w:szCs w:val="24"/>
        </w:rPr>
        <w:t xml:space="preserve">to </w:t>
      </w:r>
      <w:r w:rsidRPr="003264CA">
        <w:rPr>
          <w:rFonts w:ascii="Calibri" w:hAnsi="Calibri" w:cs="Arial"/>
          <w:sz w:val="24"/>
          <w:szCs w:val="24"/>
        </w:rPr>
        <w:t>the City</w:t>
      </w:r>
      <w:r w:rsidR="00EF6046">
        <w:rPr>
          <w:rFonts w:ascii="Calibri" w:hAnsi="Calibri" w:cs="Arial"/>
          <w:sz w:val="24"/>
          <w:szCs w:val="24"/>
        </w:rPr>
        <w:t xml:space="preserve"> of Springfield’s</w:t>
      </w:r>
      <w:r w:rsidRPr="003264CA">
        <w:rPr>
          <w:rFonts w:ascii="Calibri" w:hAnsi="Calibri" w:cs="Arial"/>
          <w:sz w:val="24"/>
          <w:szCs w:val="24"/>
        </w:rPr>
        <w:t xml:space="preserve"> Homeless Manag</w:t>
      </w:r>
      <w:r w:rsidR="00EF6046">
        <w:rPr>
          <w:rFonts w:ascii="Calibri" w:hAnsi="Calibri" w:cs="Arial"/>
          <w:sz w:val="24"/>
          <w:szCs w:val="24"/>
        </w:rPr>
        <w:t>ement Information System (HMIS).</w:t>
      </w:r>
      <w:r w:rsidRPr="003264CA">
        <w:rPr>
          <w:rFonts w:ascii="Calibri" w:hAnsi="Calibri" w:cs="Arial"/>
          <w:sz w:val="24"/>
          <w:szCs w:val="24"/>
        </w:rPr>
        <w:t xml:space="preserve">  The </w:t>
      </w:r>
      <w:r w:rsidRPr="003264CA">
        <w:rPr>
          <w:rFonts w:ascii="Calibri" w:hAnsi="Calibri" w:cs="Arial"/>
          <w:sz w:val="24"/>
          <w:szCs w:val="24"/>
          <w:u w:val="single"/>
        </w:rPr>
        <w:t>only exception</w:t>
      </w:r>
      <w:r w:rsidRPr="003264CA">
        <w:rPr>
          <w:rFonts w:ascii="Calibri" w:hAnsi="Calibri" w:cs="Arial"/>
          <w:sz w:val="24"/>
          <w:szCs w:val="24"/>
        </w:rPr>
        <w:t xml:space="preserve"> to this requirement is for those organizations which have a primary purpose of serving victims of domestic violence.  These organizations are excluded by HUD from HMIS participation.  However, each such organization must provide and collect the HUD-required data elements in a system which will allow it to produce HUD-required data.</w:t>
      </w:r>
    </w:p>
    <w:p w:rsidR="003264CA" w:rsidRPr="003264CA" w:rsidRDefault="003264CA" w:rsidP="003264CA">
      <w:pPr>
        <w:spacing w:line="276" w:lineRule="auto"/>
        <w:rPr>
          <w:rFonts w:ascii="Calibri" w:hAnsi="Calibri" w:cs="Arial"/>
          <w:sz w:val="24"/>
          <w:szCs w:val="24"/>
        </w:rPr>
      </w:pPr>
    </w:p>
    <w:p w:rsidR="003264CA" w:rsidRPr="003264CA" w:rsidRDefault="003264CA" w:rsidP="00EF6046">
      <w:pPr>
        <w:spacing w:after="120" w:line="276" w:lineRule="auto"/>
        <w:rPr>
          <w:rFonts w:ascii="Calibri" w:hAnsi="Calibri" w:cs="Arial"/>
          <w:b/>
          <w:sz w:val="24"/>
          <w:szCs w:val="24"/>
          <w:u w:val="single"/>
        </w:rPr>
      </w:pPr>
      <w:r w:rsidRPr="003264CA">
        <w:rPr>
          <w:rFonts w:ascii="Calibri" w:hAnsi="Calibri" w:cs="Arial"/>
          <w:b/>
          <w:sz w:val="24"/>
          <w:szCs w:val="24"/>
          <w:u w:val="single"/>
        </w:rPr>
        <w:t>Application Process</w:t>
      </w:r>
    </w:p>
    <w:p w:rsidR="003264CA" w:rsidRPr="003264CA" w:rsidRDefault="003264CA" w:rsidP="003264CA">
      <w:pPr>
        <w:spacing w:after="120" w:line="276" w:lineRule="auto"/>
        <w:jc w:val="both"/>
        <w:rPr>
          <w:rFonts w:ascii="Calibri" w:hAnsi="Calibri" w:cs="Arial"/>
          <w:sz w:val="24"/>
          <w:szCs w:val="24"/>
        </w:rPr>
      </w:pPr>
      <w:r w:rsidRPr="003264CA">
        <w:rPr>
          <w:rFonts w:ascii="Calibri" w:hAnsi="Calibri" w:cs="Arial"/>
          <w:sz w:val="24"/>
          <w:szCs w:val="24"/>
        </w:rPr>
        <w:t xml:space="preserve">The RFP will be available for distribution starting </w:t>
      </w:r>
      <w:r w:rsidR="00EF6046">
        <w:rPr>
          <w:rFonts w:ascii="Calibri" w:hAnsi="Calibri" w:cs="Arial"/>
          <w:sz w:val="24"/>
          <w:szCs w:val="24"/>
        </w:rPr>
        <w:t>March</w:t>
      </w:r>
      <w:r w:rsidR="00F5029E">
        <w:rPr>
          <w:rFonts w:ascii="Calibri" w:hAnsi="Calibri" w:cs="Arial"/>
          <w:sz w:val="24"/>
          <w:szCs w:val="24"/>
        </w:rPr>
        <w:t xml:space="preserve"> 19</w:t>
      </w:r>
      <w:r w:rsidRPr="003264CA">
        <w:rPr>
          <w:rFonts w:ascii="Calibri" w:hAnsi="Calibri" w:cs="Arial"/>
          <w:sz w:val="24"/>
          <w:szCs w:val="24"/>
        </w:rPr>
        <w:t>, 201</w:t>
      </w:r>
      <w:r w:rsidR="00EF6046">
        <w:rPr>
          <w:rFonts w:ascii="Calibri" w:hAnsi="Calibri" w:cs="Arial"/>
          <w:sz w:val="24"/>
          <w:szCs w:val="24"/>
        </w:rPr>
        <w:t>5</w:t>
      </w:r>
      <w:r w:rsidRPr="003264CA">
        <w:rPr>
          <w:rFonts w:ascii="Calibri" w:hAnsi="Calibri" w:cs="Arial"/>
          <w:sz w:val="24"/>
          <w:szCs w:val="24"/>
        </w:rPr>
        <w:t xml:space="preserve"> at the Office of Housing, 1600 E. Columbus Ave., Springfield, Monday through Friday, 8:30 a.m. to 4:00 p.m.   Upon request to </w:t>
      </w:r>
      <w:hyperlink r:id="rId13" w:history="1">
        <w:r w:rsidRPr="003264CA">
          <w:rPr>
            <w:rFonts w:ascii="Calibri" w:hAnsi="Calibri" w:cs="Arial"/>
            <w:color w:val="0000FF"/>
            <w:sz w:val="24"/>
            <w:szCs w:val="24"/>
            <w:u w:val="single"/>
          </w:rPr>
          <w:t>gmccafferty@springfieldcityhall.com</w:t>
        </w:r>
      </w:hyperlink>
      <w:r w:rsidRPr="003264CA">
        <w:rPr>
          <w:rFonts w:ascii="Calibri" w:hAnsi="Calibri" w:cs="Arial"/>
          <w:sz w:val="24"/>
          <w:szCs w:val="24"/>
        </w:rPr>
        <w:t>, the application form is available electronically.</w:t>
      </w:r>
    </w:p>
    <w:p w:rsidR="003264CA" w:rsidRPr="003264CA" w:rsidRDefault="003264CA" w:rsidP="003264CA">
      <w:pPr>
        <w:spacing w:after="120" w:line="276" w:lineRule="auto"/>
        <w:jc w:val="both"/>
        <w:rPr>
          <w:rFonts w:ascii="Calibri" w:hAnsi="Calibri" w:cs="Arial"/>
          <w:sz w:val="24"/>
          <w:szCs w:val="24"/>
        </w:rPr>
      </w:pPr>
      <w:r w:rsidRPr="003264CA">
        <w:rPr>
          <w:rFonts w:ascii="Calibri" w:hAnsi="Calibri" w:cs="Arial"/>
          <w:sz w:val="24"/>
          <w:szCs w:val="24"/>
        </w:rPr>
        <w:t xml:space="preserve">Please prepare the application neatly and concisely.  Please submit 1 Original Application and 4 Copies.  Program proposals must be received by the City of Springfield on or before </w:t>
      </w:r>
      <w:r w:rsidR="00EF6046">
        <w:rPr>
          <w:rFonts w:ascii="Calibri" w:hAnsi="Calibri" w:cs="Arial"/>
          <w:sz w:val="24"/>
          <w:szCs w:val="24"/>
        </w:rPr>
        <w:t>4</w:t>
      </w:r>
      <w:r w:rsidRPr="003264CA">
        <w:rPr>
          <w:rFonts w:ascii="Calibri" w:hAnsi="Calibri" w:cs="Arial"/>
          <w:sz w:val="24"/>
          <w:szCs w:val="24"/>
        </w:rPr>
        <w:t xml:space="preserve">:00 pm on </w:t>
      </w:r>
      <w:r w:rsidR="00F5029E">
        <w:rPr>
          <w:rFonts w:ascii="Calibri" w:hAnsi="Calibri" w:cs="Arial"/>
          <w:sz w:val="24"/>
          <w:szCs w:val="24"/>
        </w:rPr>
        <w:t>Wednesday, April 16</w:t>
      </w:r>
      <w:r w:rsidRPr="003264CA">
        <w:rPr>
          <w:rFonts w:ascii="Calibri" w:hAnsi="Calibri" w:cs="Arial"/>
          <w:sz w:val="24"/>
          <w:szCs w:val="24"/>
        </w:rPr>
        <w:t>, 201</w:t>
      </w:r>
      <w:r w:rsidR="00EF6046">
        <w:rPr>
          <w:rFonts w:ascii="Calibri" w:hAnsi="Calibri" w:cs="Arial"/>
          <w:sz w:val="24"/>
          <w:szCs w:val="24"/>
        </w:rPr>
        <w:t>5</w:t>
      </w:r>
      <w:r w:rsidRPr="003264CA">
        <w:rPr>
          <w:rFonts w:ascii="Calibri" w:hAnsi="Calibri" w:cs="Arial"/>
          <w:sz w:val="24"/>
          <w:szCs w:val="24"/>
        </w:rPr>
        <w:t xml:space="preserve"> at the Office Housing, 1600 E. Colum</w:t>
      </w:r>
      <w:r w:rsidR="00EF6046">
        <w:rPr>
          <w:rFonts w:ascii="Calibri" w:hAnsi="Calibri" w:cs="Arial"/>
          <w:sz w:val="24"/>
          <w:szCs w:val="24"/>
        </w:rPr>
        <w:t>bus Ave., Springfield, MA</w:t>
      </w:r>
      <w:r w:rsidRPr="003264CA">
        <w:rPr>
          <w:rFonts w:ascii="Calibri" w:hAnsi="Calibri" w:cs="Arial"/>
          <w:sz w:val="24"/>
          <w:szCs w:val="24"/>
        </w:rPr>
        <w:t>.</w:t>
      </w:r>
    </w:p>
    <w:p w:rsidR="003264CA" w:rsidRPr="003264CA" w:rsidRDefault="003264CA" w:rsidP="003264CA">
      <w:pPr>
        <w:spacing w:after="120" w:line="276" w:lineRule="auto"/>
        <w:jc w:val="both"/>
        <w:rPr>
          <w:rFonts w:ascii="Calibri" w:hAnsi="Calibri" w:cs="Arial"/>
          <w:sz w:val="24"/>
          <w:szCs w:val="24"/>
        </w:rPr>
      </w:pPr>
      <w:r w:rsidRPr="003264CA">
        <w:rPr>
          <w:rFonts w:ascii="Calibri" w:hAnsi="Calibri" w:cs="Arial"/>
          <w:sz w:val="24"/>
          <w:szCs w:val="24"/>
        </w:rPr>
        <w:t xml:space="preserve">No funding obligations shall be implied based on the information in this solicitation of ESG project proposals.  The City of Springfield reserves the right to accept any proposal or reject any and all proposals on such basis as may be deemed to be in its best interest. </w:t>
      </w:r>
    </w:p>
    <w:p w:rsidR="003264CA" w:rsidRPr="003264CA" w:rsidRDefault="003264CA" w:rsidP="003264CA">
      <w:pPr>
        <w:spacing w:after="120" w:line="276" w:lineRule="auto"/>
        <w:jc w:val="both"/>
        <w:rPr>
          <w:rFonts w:ascii="Calibri" w:hAnsi="Calibri" w:cs="Arial"/>
          <w:sz w:val="24"/>
          <w:szCs w:val="24"/>
        </w:rPr>
      </w:pPr>
      <w:r w:rsidRPr="003264CA">
        <w:rPr>
          <w:rFonts w:ascii="Calibri" w:hAnsi="Calibri" w:cs="Arial"/>
          <w:sz w:val="24"/>
          <w:szCs w:val="24"/>
        </w:rPr>
        <w:t xml:space="preserve">Please not that: 1) Deadlines are firm; 2) It is the sole responsibility of the applicant to ensure that the deadlines are met; and  3) Proposals delayed for any reason including but not limited to </w:t>
      </w:r>
      <w:r w:rsidRPr="003264CA">
        <w:rPr>
          <w:rFonts w:ascii="Calibri" w:hAnsi="Calibri" w:cs="Arial"/>
          <w:sz w:val="24"/>
          <w:szCs w:val="24"/>
        </w:rPr>
        <w:lastRenderedPageBreak/>
        <w:t>delivery problems associated with the United States Postal Service, messenger services or overnight courier services, will be considered late and will not be accepted.</w:t>
      </w:r>
    </w:p>
    <w:p w:rsidR="003264CA" w:rsidRPr="003264CA" w:rsidRDefault="003264CA" w:rsidP="003264CA">
      <w:pPr>
        <w:spacing w:line="276" w:lineRule="auto"/>
        <w:jc w:val="both"/>
        <w:rPr>
          <w:rFonts w:ascii="Calibri" w:hAnsi="Calibri" w:cs="Arial"/>
          <w:sz w:val="24"/>
          <w:szCs w:val="24"/>
        </w:rPr>
      </w:pPr>
      <w:r w:rsidRPr="003264CA">
        <w:rPr>
          <w:rFonts w:ascii="Calibri" w:hAnsi="Calibri" w:cs="Arial"/>
          <w:sz w:val="24"/>
          <w:szCs w:val="24"/>
        </w:rPr>
        <w:t>The City of Springfield reserves the right to:</w:t>
      </w:r>
    </w:p>
    <w:p w:rsidR="003264CA" w:rsidRPr="003264CA" w:rsidRDefault="003264CA" w:rsidP="003264CA">
      <w:pPr>
        <w:numPr>
          <w:ilvl w:val="0"/>
          <w:numId w:val="8"/>
        </w:numPr>
        <w:spacing w:line="276" w:lineRule="auto"/>
        <w:ind w:left="936"/>
        <w:jc w:val="both"/>
        <w:rPr>
          <w:rFonts w:ascii="Calibri" w:hAnsi="Calibri" w:cs="Arial"/>
          <w:sz w:val="24"/>
          <w:szCs w:val="24"/>
        </w:rPr>
      </w:pPr>
      <w:r w:rsidRPr="003264CA">
        <w:rPr>
          <w:rFonts w:ascii="Calibri" w:hAnsi="Calibri" w:cs="Arial"/>
          <w:sz w:val="24"/>
          <w:szCs w:val="24"/>
        </w:rPr>
        <w:t xml:space="preserve">  Determine which program category will be </w:t>
      </w:r>
      <w:r w:rsidR="00EF6046">
        <w:rPr>
          <w:rFonts w:ascii="Calibri" w:hAnsi="Calibri" w:cs="Arial"/>
          <w:sz w:val="24"/>
          <w:szCs w:val="24"/>
        </w:rPr>
        <w:t>used to fund specific proposals</w:t>
      </w:r>
    </w:p>
    <w:p w:rsidR="003264CA" w:rsidRPr="003264CA" w:rsidRDefault="003264CA" w:rsidP="003264CA">
      <w:pPr>
        <w:numPr>
          <w:ilvl w:val="0"/>
          <w:numId w:val="7"/>
        </w:numPr>
        <w:spacing w:line="276" w:lineRule="auto"/>
        <w:ind w:left="936"/>
        <w:jc w:val="both"/>
        <w:rPr>
          <w:rFonts w:ascii="Calibri" w:hAnsi="Calibri" w:cs="Arial"/>
          <w:sz w:val="24"/>
          <w:szCs w:val="24"/>
        </w:rPr>
      </w:pPr>
      <w:r w:rsidRPr="003264CA">
        <w:rPr>
          <w:rFonts w:ascii="Calibri" w:hAnsi="Calibri" w:cs="Arial"/>
          <w:sz w:val="24"/>
          <w:szCs w:val="24"/>
        </w:rPr>
        <w:t xml:space="preserve">  Determine the source of funding to be utilized</w:t>
      </w:r>
    </w:p>
    <w:p w:rsidR="003264CA" w:rsidRPr="003264CA" w:rsidRDefault="003264CA" w:rsidP="003264CA">
      <w:pPr>
        <w:numPr>
          <w:ilvl w:val="0"/>
          <w:numId w:val="7"/>
        </w:numPr>
        <w:spacing w:line="276" w:lineRule="auto"/>
        <w:ind w:left="936"/>
        <w:jc w:val="both"/>
        <w:rPr>
          <w:rFonts w:ascii="Calibri" w:hAnsi="Calibri" w:cs="Arial"/>
          <w:sz w:val="24"/>
          <w:szCs w:val="24"/>
        </w:rPr>
      </w:pPr>
      <w:r w:rsidRPr="003264CA">
        <w:rPr>
          <w:rFonts w:ascii="Calibri" w:hAnsi="Calibri" w:cs="Arial"/>
          <w:sz w:val="24"/>
          <w:szCs w:val="24"/>
        </w:rPr>
        <w:t xml:space="preserve">  Negotiate and award contracts</w:t>
      </w:r>
    </w:p>
    <w:p w:rsidR="003264CA" w:rsidRPr="003264CA" w:rsidRDefault="003264CA" w:rsidP="003264CA">
      <w:pPr>
        <w:numPr>
          <w:ilvl w:val="0"/>
          <w:numId w:val="7"/>
        </w:numPr>
        <w:spacing w:line="276" w:lineRule="auto"/>
        <w:ind w:left="936"/>
        <w:jc w:val="both"/>
        <w:rPr>
          <w:rFonts w:ascii="Calibri" w:hAnsi="Calibri" w:cs="Arial"/>
          <w:sz w:val="24"/>
          <w:szCs w:val="24"/>
        </w:rPr>
      </w:pPr>
      <w:r w:rsidRPr="003264CA">
        <w:rPr>
          <w:rFonts w:ascii="Calibri" w:hAnsi="Calibri" w:cs="Arial"/>
          <w:sz w:val="24"/>
          <w:szCs w:val="24"/>
        </w:rPr>
        <w:t xml:space="preserve">  Reject any or all submittals</w:t>
      </w:r>
    </w:p>
    <w:p w:rsidR="003264CA" w:rsidRPr="003264CA" w:rsidRDefault="003264CA" w:rsidP="003264CA">
      <w:pPr>
        <w:numPr>
          <w:ilvl w:val="0"/>
          <w:numId w:val="7"/>
        </w:numPr>
        <w:spacing w:line="276" w:lineRule="auto"/>
        <w:ind w:left="936"/>
        <w:jc w:val="both"/>
        <w:rPr>
          <w:rFonts w:ascii="Calibri" w:hAnsi="Calibri" w:cs="Arial"/>
          <w:sz w:val="24"/>
          <w:szCs w:val="24"/>
        </w:rPr>
      </w:pPr>
      <w:r w:rsidRPr="003264CA">
        <w:rPr>
          <w:rFonts w:ascii="Calibri" w:hAnsi="Calibri" w:cs="Arial"/>
          <w:sz w:val="24"/>
          <w:szCs w:val="24"/>
        </w:rPr>
        <w:t xml:space="preserve">  Offer less than the requested amount</w:t>
      </w:r>
    </w:p>
    <w:p w:rsidR="003264CA" w:rsidRPr="003264CA" w:rsidRDefault="003264CA" w:rsidP="003264CA">
      <w:pPr>
        <w:spacing w:line="276" w:lineRule="auto"/>
        <w:jc w:val="both"/>
        <w:rPr>
          <w:rFonts w:ascii="Calibri" w:hAnsi="Calibri" w:cs="Arial"/>
          <w:sz w:val="24"/>
          <w:szCs w:val="24"/>
        </w:rPr>
      </w:pPr>
    </w:p>
    <w:p w:rsidR="003264CA" w:rsidRPr="003264CA" w:rsidRDefault="003264CA" w:rsidP="003264CA">
      <w:pPr>
        <w:spacing w:line="276" w:lineRule="auto"/>
        <w:jc w:val="both"/>
        <w:rPr>
          <w:rFonts w:ascii="Calibri" w:hAnsi="Calibri" w:cs="Arial"/>
          <w:sz w:val="24"/>
          <w:szCs w:val="24"/>
        </w:rPr>
      </w:pPr>
      <w:r w:rsidRPr="003264CA">
        <w:rPr>
          <w:rFonts w:ascii="Calibri" w:hAnsi="Calibri" w:cs="Arial"/>
          <w:sz w:val="24"/>
          <w:szCs w:val="24"/>
        </w:rPr>
        <w:t>The following pages list points to be awarded in grant review.</w:t>
      </w:r>
    </w:p>
    <w:p w:rsidR="003264CA" w:rsidRPr="003264CA" w:rsidRDefault="003264CA" w:rsidP="003264CA">
      <w:pPr>
        <w:spacing w:line="276" w:lineRule="auto"/>
        <w:jc w:val="both"/>
        <w:rPr>
          <w:rFonts w:ascii="Calibri" w:hAnsi="Calibri" w:cs="Arial"/>
          <w:sz w:val="24"/>
          <w:szCs w:val="24"/>
        </w:rPr>
      </w:pPr>
    </w:p>
    <w:p w:rsidR="003264CA" w:rsidRPr="003264CA" w:rsidRDefault="003264CA" w:rsidP="003264CA">
      <w:pPr>
        <w:spacing w:line="276" w:lineRule="auto"/>
        <w:rPr>
          <w:rFonts w:ascii="Calibri" w:hAnsi="Calibri" w:cs="Arial"/>
          <w:sz w:val="24"/>
          <w:szCs w:val="24"/>
        </w:rPr>
      </w:pPr>
    </w:p>
    <w:p w:rsidR="003264CA" w:rsidRPr="003264CA" w:rsidRDefault="003264CA" w:rsidP="003264CA">
      <w:pPr>
        <w:rPr>
          <w:sz w:val="24"/>
          <w:szCs w:val="24"/>
        </w:rPr>
      </w:pPr>
      <w:r w:rsidRPr="003264CA">
        <w:rPr>
          <w:sz w:val="24"/>
          <w:szCs w:val="24"/>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7370"/>
        <w:gridCol w:w="1658"/>
      </w:tblGrid>
      <w:tr w:rsidR="003264CA" w:rsidRPr="008F4A85" w:rsidTr="00493F25">
        <w:tc>
          <w:tcPr>
            <w:tcW w:w="7918" w:type="dxa"/>
            <w:gridSpan w:val="2"/>
            <w:tcBorders>
              <w:bottom w:val="single" w:sz="4" w:space="0" w:color="auto"/>
            </w:tcBorders>
            <w:shd w:val="clear" w:color="auto" w:fill="000000" w:themeFill="text1"/>
            <w:vAlign w:val="center"/>
          </w:tcPr>
          <w:p w:rsidR="003264CA" w:rsidRPr="0006654B" w:rsidRDefault="003264CA" w:rsidP="003264CA">
            <w:pPr>
              <w:rPr>
                <w:rFonts w:ascii="Calibri" w:hAnsi="Calibri" w:cs="Arial"/>
                <w:b/>
                <w:sz w:val="24"/>
                <w:szCs w:val="24"/>
              </w:rPr>
            </w:pPr>
            <w:r w:rsidRPr="0006654B">
              <w:lastRenderedPageBreak/>
              <w:br w:type="page"/>
            </w:r>
            <w:r w:rsidRPr="0006654B">
              <w:rPr>
                <w:rFonts w:ascii="Calibri" w:hAnsi="Calibri" w:cs="Arial"/>
                <w:sz w:val="24"/>
                <w:szCs w:val="24"/>
              </w:rPr>
              <w:br w:type="page"/>
            </w:r>
            <w:r w:rsidRPr="0006654B">
              <w:rPr>
                <w:rFonts w:ascii="Calibri" w:hAnsi="Calibri" w:cs="Arial"/>
                <w:b/>
                <w:sz w:val="24"/>
                <w:szCs w:val="24"/>
              </w:rPr>
              <w:t>ESG Grant Review Scoring Factor</w:t>
            </w:r>
          </w:p>
        </w:tc>
        <w:tc>
          <w:tcPr>
            <w:tcW w:w="1658" w:type="dxa"/>
            <w:tcBorders>
              <w:bottom w:val="single" w:sz="4" w:space="0" w:color="auto"/>
            </w:tcBorders>
            <w:shd w:val="clear" w:color="auto" w:fill="000000" w:themeFill="text1"/>
          </w:tcPr>
          <w:p w:rsidR="003264CA" w:rsidRPr="0006654B" w:rsidRDefault="003264CA" w:rsidP="003264CA">
            <w:pPr>
              <w:rPr>
                <w:rFonts w:ascii="Calibri" w:hAnsi="Calibri" w:cs="Arial"/>
                <w:b/>
                <w:sz w:val="24"/>
                <w:szCs w:val="24"/>
              </w:rPr>
            </w:pPr>
            <w:r w:rsidRPr="0006654B">
              <w:rPr>
                <w:rFonts w:ascii="Calibri" w:hAnsi="Calibri" w:cs="Arial"/>
                <w:b/>
                <w:sz w:val="24"/>
                <w:szCs w:val="24"/>
              </w:rPr>
              <w:t>Maximum Points</w:t>
            </w:r>
          </w:p>
        </w:tc>
      </w:tr>
      <w:tr w:rsidR="003264CA" w:rsidRPr="008F4A85" w:rsidTr="0059086F">
        <w:tc>
          <w:tcPr>
            <w:tcW w:w="9576" w:type="dxa"/>
            <w:gridSpan w:val="3"/>
            <w:shd w:val="clear" w:color="auto" w:fill="E6E6E6"/>
          </w:tcPr>
          <w:p w:rsidR="003264CA" w:rsidRPr="0006654B" w:rsidRDefault="0006654B" w:rsidP="00F04174">
            <w:pPr>
              <w:rPr>
                <w:rFonts w:ascii="Calibri" w:hAnsi="Calibri" w:cs="Arial"/>
                <w:sz w:val="24"/>
                <w:szCs w:val="24"/>
              </w:rPr>
            </w:pPr>
            <w:r w:rsidRPr="0006654B">
              <w:rPr>
                <w:rFonts w:ascii="Calibri" w:hAnsi="Calibri" w:cs="Arial"/>
                <w:b/>
                <w:sz w:val="24"/>
                <w:szCs w:val="24"/>
              </w:rPr>
              <w:t>Project</w:t>
            </w:r>
            <w:r w:rsidR="003264CA" w:rsidRPr="0006654B">
              <w:rPr>
                <w:rFonts w:ascii="Calibri" w:hAnsi="Calibri" w:cs="Arial"/>
                <w:b/>
                <w:sz w:val="24"/>
                <w:szCs w:val="24"/>
              </w:rPr>
              <w:t xml:space="preserve">  Design</w:t>
            </w:r>
            <w:r w:rsidRPr="0006654B">
              <w:rPr>
                <w:rFonts w:ascii="Calibri" w:hAnsi="Calibri" w:cs="Arial"/>
                <w:b/>
                <w:sz w:val="24"/>
                <w:szCs w:val="24"/>
              </w:rPr>
              <w:t xml:space="preserve"> &amp; Community Need</w:t>
            </w:r>
            <w:r w:rsidR="00011E7C">
              <w:rPr>
                <w:rFonts w:ascii="Calibri" w:hAnsi="Calibri" w:cs="Arial"/>
                <w:sz w:val="24"/>
                <w:szCs w:val="24"/>
              </w:rPr>
              <w:t xml:space="preserve"> (Maximum 4</w:t>
            </w:r>
            <w:r w:rsidR="00F04174">
              <w:rPr>
                <w:rFonts w:ascii="Calibri" w:hAnsi="Calibri" w:cs="Arial"/>
                <w:sz w:val="24"/>
                <w:szCs w:val="24"/>
              </w:rPr>
              <w:t>0</w:t>
            </w:r>
            <w:r w:rsidR="003264CA" w:rsidRPr="0006654B">
              <w:rPr>
                <w:rFonts w:ascii="Calibri" w:hAnsi="Calibri" w:cs="Arial"/>
                <w:sz w:val="24"/>
                <w:szCs w:val="24"/>
              </w:rPr>
              <w:t xml:space="preserve"> points)</w:t>
            </w:r>
          </w:p>
        </w:tc>
      </w:tr>
      <w:tr w:rsidR="003264CA" w:rsidRPr="008F4A85" w:rsidTr="0059086F">
        <w:tc>
          <w:tcPr>
            <w:tcW w:w="548" w:type="dxa"/>
            <w:vMerge w:val="restart"/>
            <w:shd w:val="clear" w:color="auto" w:fill="auto"/>
          </w:tcPr>
          <w:p w:rsidR="003264CA" w:rsidRPr="0006654B" w:rsidRDefault="003264CA" w:rsidP="003264CA">
            <w:pPr>
              <w:rPr>
                <w:rFonts w:ascii="Calibri" w:hAnsi="Calibri" w:cs="Arial"/>
                <w:sz w:val="24"/>
                <w:szCs w:val="24"/>
              </w:rPr>
            </w:pPr>
          </w:p>
        </w:tc>
        <w:tc>
          <w:tcPr>
            <w:tcW w:w="7370" w:type="dxa"/>
            <w:shd w:val="clear" w:color="auto" w:fill="auto"/>
          </w:tcPr>
          <w:p w:rsidR="003264CA" w:rsidRPr="0006654B" w:rsidRDefault="003264CA" w:rsidP="003264CA">
            <w:pPr>
              <w:rPr>
                <w:rFonts w:ascii="Calibri" w:hAnsi="Calibri" w:cs="Arial"/>
                <w:sz w:val="24"/>
                <w:szCs w:val="24"/>
              </w:rPr>
            </w:pPr>
            <w:r w:rsidRPr="0006654B">
              <w:rPr>
                <w:rFonts w:ascii="Calibri" w:hAnsi="Calibri" w:cs="Arial"/>
                <w:sz w:val="24"/>
                <w:szCs w:val="24"/>
              </w:rPr>
              <w:t>Targeting/Population to be served.  Higher points awarded for projects serving people who are actually homeless, or, if the project serves people who are imminently homeless, the applicant demonstrates it will use a method of targeting which has a high likelihood of identifying participants who will become homeless if they do not receive assistance.</w:t>
            </w:r>
          </w:p>
        </w:tc>
        <w:tc>
          <w:tcPr>
            <w:tcW w:w="1658" w:type="dxa"/>
            <w:shd w:val="clear" w:color="auto" w:fill="auto"/>
            <w:vAlign w:val="center"/>
          </w:tcPr>
          <w:p w:rsidR="003264CA" w:rsidRPr="0006654B" w:rsidRDefault="00F352F7" w:rsidP="003264CA">
            <w:pPr>
              <w:jc w:val="center"/>
              <w:rPr>
                <w:rFonts w:ascii="Calibri" w:hAnsi="Calibri" w:cs="Arial"/>
                <w:sz w:val="24"/>
                <w:szCs w:val="24"/>
              </w:rPr>
            </w:pPr>
            <w:r>
              <w:rPr>
                <w:rFonts w:ascii="Calibri" w:hAnsi="Calibri" w:cs="Arial"/>
                <w:sz w:val="24"/>
                <w:szCs w:val="24"/>
              </w:rPr>
              <w:t>5</w:t>
            </w:r>
          </w:p>
        </w:tc>
      </w:tr>
      <w:tr w:rsidR="00011E7C" w:rsidRPr="008F4A85" w:rsidTr="0059086F">
        <w:tc>
          <w:tcPr>
            <w:tcW w:w="548" w:type="dxa"/>
            <w:vMerge/>
            <w:shd w:val="clear" w:color="auto" w:fill="auto"/>
          </w:tcPr>
          <w:p w:rsidR="00011E7C" w:rsidRPr="0006654B" w:rsidRDefault="00011E7C" w:rsidP="003264CA">
            <w:pPr>
              <w:rPr>
                <w:rFonts w:ascii="Calibri" w:hAnsi="Calibri" w:cs="Arial"/>
                <w:sz w:val="24"/>
                <w:szCs w:val="24"/>
              </w:rPr>
            </w:pPr>
          </w:p>
        </w:tc>
        <w:tc>
          <w:tcPr>
            <w:tcW w:w="7370" w:type="dxa"/>
            <w:shd w:val="clear" w:color="auto" w:fill="auto"/>
          </w:tcPr>
          <w:p w:rsidR="00011E7C" w:rsidRPr="0006654B" w:rsidRDefault="00011E7C" w:rsidP="003264CA">
            <w:pPr>
              <w:rPr>
                <w:rFonts w:ascii="Calibri" w:hAnsi="Calibri" w:cs="Arial"/>
                <w:sz w:val="24"/>
                <w:szCs w:val="24"/>
              </w:rPr>
            </w:pPr>
            <w:r w:rsidRPr="0006654B">
              <w:rPr>
                <w:rFonts w:ascii="Calibri" w:hAnsi="Calibri" w:cs="Arial"/>
                <w:sz w:val="24"/>
                <w:szCs w:val="24"/>
              </w:rPr>
              <w:t>Number of unduplicated persons served (in proportion to size of grant).</w:t>
            </w:r>
          </w:p>
        </w:tc>
        <w:tc>
          <w:tcPr>
            <w:tcW w:w="1658" w:type="dxa"/>
            <w:shd w:val="clear" w:color="auto" w:fill="auto"/>
            <w:vAlign w:val="center"/>
          </w:tcPr>
          <w:p w:rsidR="00011E7C" w:rsidRPr="0006654B" w:rsidRDefault="00F352F7" w:rsidP="003264CA">
            <w:pPr>
              <w:jc w:val="center"/>
              <w:rPr>
                <w:rFonts w:ascii="Calibri" w:hAnsi="Calibri" w:cs="Arial"/>
                <w:sz w:val="24"/>
                <w:szCs w:val="24"/>
              </w:rPr>
            </w:pPr>
            <w:r>
              <w:rPr>
                <w:rFonts w:ascii="Calibri" w:hAnsi="Calibri" w:cs="Arial"/>
                <w:sz w:val="24"/>
                <w:szCs w:val="24"/>
              </w:rPr>
              <w:t>5</w:t>
            </w:r>
          </w:p>
        </w:tc>
      </w:tr>
      <w:tr w:rsidR="003264CA" w:rsidRPr="008F4A85" w:rsidTr="0059086F">
        <w:tc>
          <w:tcPr>
            <w:tcW w:w="548" w:type="dxa"/>
            <w:vMerge/>
            <w:shd w:val="clear" w:color="auto" w:fill="auto"/>
          </w:tcPr>
          <w:p w:rsidR="003264CA" w:rsidRPr="0006654B" w:rsidRDefault="003264CA" w:rsidP="003264CA">
            <w:pPr>
              <w:rPr>
                <w:rFonts w:ascii="Calibri" w:hAnsi="Calibri" w:cs="Arial"/>
                <w:sz w:val="24"/>
                <w:szCs w:val="24"/>
              </w:rPr>
            </w:pPr>
          </w:p>
        </w:tc>
        <w:tc>
          <w:tcPr>
            <w:tcW w:w="7370" w:type="dxa"/>
            <w:shd w:val="clear" w:color="auto" w:fill="auto"/>
          </w:tcPr>
          <w:p w:rsidR="003264CA" w:rsidRPr="0006654B" w:rsidRDefault="003264CA" w:rsidP="003264CA">
            <w:pPr>
              <w:rPr>
                <w:rFonts w:ascii="Calibri" w:hAnsi="Calibri" w:cs="Arial"/>
                <w:sz w:val="24"/>
                <w:szCs w:val="24"/>
              </w:rPr>
            </w:pPr>
            <w:r w:rsidRPr="0006654B">
              <w:rPr>
                <w:rFonts w:ascii="Calibri" w:hAnsi="Calibri" w:cs="Arial"/>
                <w:sz w:val="24"/>
                <w:szCs w:val="24"/>
              </w:rPr>
              <w:t>Degree to which program will contribute toward reduction of homelessness</w:t>
            </w:r>
            <w:r w:rsidR="00F352F7">
              <w:rPr>
                <w:rFonts w:ascii="Calibri" w:hAnsi="Calibri" w:cs="Arial"/>
                <w:sz w:val="24"/>
                <w:szCs w:val="24"/>
              </w:rPr>
              <w:t xml:space="preserve"> (especially for populations not served by other programs)</w:t>
            </w:r>
            <w:r w:rsidRPr="0006654B">
              <w:rPr>
                <w:rFonts w:ascii="Calibri" w:hAnsi="Calibri" w:cs="Arial"/>
                <w:sz w:val="24"/>
                <w:szCs w:val="24"/>
              </w:rPr>
              <w:t xml:space="preserve">, or the shelter </w:t>
            </w:r>
            <w:r w:rsidR="00F352F7">
              <w:rPr>
                <w:rFonts w:ascii="Calibri" w:hAnsi="Calibri" w:cs="Arial"/>
                <w:sz w:val="24"/>
                <w:szCs w:val="24"/>
              </w:rPr>
              <w:t xml:space="preserve">or outreach program </w:t>
            </w:r>
            <w:r w:rsidRPr="0006654B">
              <w:rPr>
                <w:rFonts w:ascii="Calibri" w:hAnsi="Calibri" w:cs="Arial"/>
                <w:sz w:val="24"/>
                <w:szCs w:val="24"/>
              </w:rPr>
              <w:t>emphasizes housing-oriented solutions to homelessness.</w:t>
            </w:r>
          </w:p>
        </w:tc>
        <w:tc>
          <w:tcPr>
            <w:tcW w:w="1658" w:type="dxa"/>
            <w:shd w:val="clear" w:color="auto" w:fill="auto"/>
            <w:vAlign w:val="center"/>
          </w:tcPr>
          <w:p w:rsidR="003264CA" w:rsidRPr="0006654B" w:rsidRDefault="00F352F7" w:rsidP="003264CA">
            <w:pPr>
              <w:jc w:val="center"/>
              <w:rPr>
                <w:rFonts w:ascii="Calibri" w:hAnsi="Calibri" w:cs="Arial"/>
                <w:sz w:val="24"/>
                <w:szCs w:val="24"/>
              </w:rPr>
            </w:pPr>
            <w:r>
              <w:rPr>
                <w:rFonts w:ascii="Calibri" w:hAnsi="Calibri" w:cs="Arial"/>
                <w:sz w:val="24"/>
                <w:szCs w:val="24"/>
              </w:rPr>
              <w:t>5</w:t>
            </w:r>
          </w:p>
        </w:tc>
      </w:tr>
      <w:tr w:rsidR="003264CA" w:rsidRPr="008F4A85" w:rsidTr="0059086F">
        <w:tc>
          <w:tcPr>
            <w:tcW w:w="548" w:type="dxa"/>
            <w:vMerge/>
            <w:shd w:val="clear" w:color="auto" w:fill="auto"/>
          </w:tcPr>
          <w:p w:rsidR="003264CA" w:rsidRPr="0006654B" w:rsidRDefault="003264CA" w:rsidP="003264CA">
            <w:pPr>
              <w:rPr>
                <w:rFonts w:ascii="Calibri" w:hAnsi="Calibri" w:cs="Arial"/>
                <w:sz w:val="24"/>
                <w:szCs w:val="24"/>
              </w:rPr>
            </w:pPr>
          </w:p>
        </w:tc>
        <w:tc>
          <w:tcPr>
            <w:tcW w:w="7370" w:type="dxa"/>
            <w:shd w:val="clear" w:color="auto" w:fill="auto"/>
          </w:tcPr>
          <w:p w:rsidR="003264CA" w:rsidRPr="0006654B" w:rsidRDefault="00F352F7" w:rsidP="003264CA">
            <w:pPr>
              <w:rPr>
                <w:rFonts w:ascii="Calibri" w:hAnsi="Calibri" w:cs="Arial"/>
                <w:sz w:val="24"/>
                <w:szCs w:val="24"/>
              </w:rPr>
            </w:pPr>
            <w:r>
              <w:rPr>
                <w:rFonts w:ascii="Calibri" w:hAnsi="Calibri" w:cs="Arial"/>
                <w:sz w:val="24"/>
                <w:szCs w:val="24"/>
              </w:rPr>
              <w:t>Evidence that program is providing a unique service or serving a unique population, and is not duplicative of services provided by another agency.</w:t>
            </w:r>
          </w:p>
        </w:tc>
        <w:tc>
          <w:tcPr>
            <w:tcW w:w="1658" w:type="dxa"/>
            <w:shd w:val="clear" w:color="auto" w:fill="auto"/>
            <w:vAlign w:val="center"/>
          </w:tcPr>
          <w:p w:rsidR="003264CA" w:rsidRPr="0006654B" w:rsidRDefault="00F352F7" w:rsidP="003264CA">
            <w:pPr>
              <w:jc w:val="center"/>
              <w:rPr>
                <w:rFonts w:ascii="Calibri" w:hAnsi="Calibri" w:cs="Arial"/>
                <w:sz w:val="24"/>
                <w:szCs w:val="24"/>
              </w:rPr>
            </w:pPr>
            <w:r>
              <w:rPr>
                <w:rFonts w:ascii="Calibri" w:hAnsi="Calibri" w:cs="Arial"/>
                <w:sz w:val="24"/>
                <w:szCs w:val="24"/>
              </w:rPr>
              <w:t>5</w:t>
            </w:r>
          </w:p>
        </w:tc>
      </w:tr>
      <w:tr w:rsidR="003264CA" w:rsidRPr="008F4A85" w:rsidTr="0059086F">
        <w:tc>
          <w:tcPr>
            <w:tcW w:w="548" w:type="dxa"/>
            <w:vMerge/>
            <w:shd w:val="clear" w:color="auto" w:fill="auto"/>
          </w:tcPr>
          <w:p w:rsidR="003264CA" w:rsidRPr="0006654B" w:rsidRDefault="003264CA" w:rsidP="003264CA">
            <w:pPr>
              <w:rPr>
                <w:rFonts w:ascii="Calibri" w:hAnsi="Calibri" w:cs="Arial"/>
                <w:sz w:val="24"/>
                <w:szCs w:val="24"/>
              </w:rPr>
            </w:pPr>
          </w:p>
        </w:tc>
        <w:tc>
          <w:tcPr>
            <w:tcW w:w="7370" w:type="dxa"/>
            <w:shd w:val="clear" w:color="auto" w:fill="auto"/>
          </w:tcPr>
          <w:p w:rsidR="00F352F7" w:rsidRDefault="00F352F7" w:rsidP="001E2BCC">
            <w:pPr>
              <w:rPr>
                <w:rFonts w:ascii="Calibri" w:hAnsi="Calibri" w:cs="Arial"/>
                <w:sz w:val="24"/>
                <w:szCs w:val="24"/>
              </w:rPr>
            </w:pPr>
            <w:r>
              <w:rPr>
                <w:rFonts w:ascii="Calibri" w:hAnsi="Calibri" w:cs="Arial"/>
                <w:sz w:val="24"/>
                <w:szCs w:val="24"/>
              </w:rPr>
              <w:t>Collaborative Project:</w:t>
            </w:r>
          </w:p>
          <w:p w:rsidR="003264CA" w:rsidRDefault="003264CA" w:rsidP="00F352F7">
            <w:pPr>
              <w:pStyle w:val="ListParagraph"/>
              <w:numPr>
                <w:ilvl w:val="0"/>
                <w:numId w:val="24"/>
              </w:numPr>
              <w:rPr>
                <w:rFonts w:ascii="Calibri" w:hAnsi="Calibri" w:cs="Arial"/>
                <w:sz w:val="24"/>
                <w:szCs w:val="24"/>
              </w:rPr>
            </w:pPr>
            <w:r w:rsidRPr="00F352F7">
              <w:rPr>
                <w:rFonts w:ascii="Calibri" w:hAnsi="Calibri" w:cs="Arial"/>
                <w:i/>
                <w:sz w:val="24"/>
                <w:szCs w:val="24"/>
              </w:rPr>
              <w:t>For programs providing rental assistance or housing relocation/stabilization services</w:t>
            </w:r>
            <w:r w:rsidR="00F352F7" w:rsidRPr="00F352F7">
              <w:rPr>
                <w:rFonts w:ascii="Calibri" w:hAnsi="Calibri" w:cs="Arial"/>
                <w:i/>
                <w:sz w:val="24"/>
                <w:szCs w:val="24"/>
              </w:rPr>
              <w:t xml:space="preserve"> (including all prevention services)</w:t>
            </w:r>
            <w:r w:rsidRPr="00F352F7">
              <w:rPr>
                <w:rFonts w:ascii="Calibri" w:hAnsi="Calibri" w:cs="Arial"/>
                <w:sz w:val="24"/>
                <w:szCs w:val="24"/>
              </w:rPr>
              <w:t>, evidence of effective collaboration with other agencies in operation of this program (for example: agency allows other organizations to determine eligibility; or one organization administers rental assistance for another organization which provides case management.)    No points awarded for this section where the only ‘collaboration’ listed is referrals to other agencies.</w:t>
            </w:r>
          </w:p>
          <w:p w:rsidR="00F352F7" w:rsidRPr="00F352F7" w:rsidRDefault="00F352F7" w:rsidP="00F352F7">
            <w:pPr>
              <w:pStyle w:val="ListParagraph"/>
              <w:numPr>
                <w:ilvl w:val="0"/>
                <w:numId w:val="24"/>
              </w:numPr>
              <w:rPr>
                <w:rFonts w:ascii="Calibri" w:hAnsi="Calibri" w:cs="Arial"/>
                <w:sz w:val="24"/>
                <w:szCs w:val="24"/>
              </w:rPr>
            </w:pPr>
            <w:r w:rsidRPr="0006654B">
              <w:rPr>
                <w:rFonts w:ascii="Calibri" w:hAnsi="Calibri" w:cs="Arial"/>
                <w:i/>
                <w:sz w:val="24"/>
                <w:szCs w:val="24"/>
              </w:rPr>
              <w:t>For agencies seeking funds for shelter operations</w:t>
            </w:r>
            <w:r>
              <w:rPr>
                <w:rFonts w:ascii="Calibri" w:hAnsi="Calibri" w:cs="Arial"/>
                <w:i/>
                <w:sz w:val="24"/>
                <w:szCs w:val="24"/>
              </w:rPr>
              <w:t xml:space="preserve"> or street outreach</w:t>
            </w:r>
            <w:r w:rsidRPr="0006654B">
              <w:rPr>
                <w:rFonts w:ascii="Calibri" w:hAnsi="Calibri" w:cs="Arial"/>
                <w:sz w:val="24"/>
                <w:szCs w:val="24"/>
              </w:rPr>
              <w:t xml:space="preserve">: evidence that organization </w:t>
            </w:r>
            <w:r>
              <w:rPr>
                <w:rFonts w:ascii="Calibri" w:hAnsi="Calibri" w:cs="Arial"/>
                <w:sz w:val="24"/>
                <w:szCs w:val="24"/>
              </w:rPr>
              <w:t>actively assists participants with access to permanent housing</w:t>
            </w:r>
            <w:r w:rsidRPr="0006654B">
              <w:rPr>
                <w:rFonts w:ascii="Calibri" w:hAnsi="Calibri" w:cs="Arial"/>
                <w:sz w:val="24"/>
                <w:szCs w:val="24"/>
              </w:rPr>
              <w:t>, either through its own programs or through partnerships with other organizations.  Referral to other agencies, without additional engagement, will not count for points for this criteria.</w:t>
            </w:r>
          </w:p>
        </w:tc>
        <w:tc>
          <w:tcPr>
            <w:tcW w:w="1658" w:type="dxa"/>
            <w:shd w:val="clear" w:color="auto" w:fill="auto"/>
            <w:vAlign w:val="center"/>
          </w:tcPr>
          <w:p w:rsidR="003264CA" w:rsidRPr="0006654B" w:rsidRDefault="00F352F7" w:rsidP="003264CA">
            <w:pPr>
              <w:jc w:val="center"/>
              <w:rPr>
                <w:rFonts w:ascii="Calibri" w:hAnsi="Calibri" w:cs="Arial"/>
                <w:sz w:val="24"/>
                <w:szCs w:val="24"/>
              </w:rPr>
            </w:pPr>
            <w:r>
              <w:rPr>
                <w:rFonts w:ascii="Calibri" w:hAnsi="Calibri" w:cs="Arial"/>
                <w:sz w:val="24"/>
                <w:szCs w:val="24"/>
              </w:rPr>
              <w:t>5</w:t>
            </w:r>
          </w:p>
        </w:tc>
      </w:tr>
      <w:tr w:rsidR="00F352F7" w:rsidRPr="008F4A85" w:rsidTr="0059086F">
        <w:tc>
          <w:tcPr>
            <w:tcW w:w="548" w:type="dxa"/>
            <w:shd w:val="clear" w:color="auto" w:fill="auto"/>
          </w:tcPr>
          <w:p w:rsidR="00F352F7" w:rsidRPr="0006654B" w:rsidRDefault="00F352F7" w:rsidP="00C97CD0">
            <w:pPr>
              <w:rPr>
                <w:rFonts w:ascii="Calibri" w:hAnsi="Calibri" w:cs="Arial"/>
                <w:sz w:val="24"/>
                <w:szCs w:val="24"/>
              </w:rPr>
            </w:pPr>
          </w:p>
        </w:tc>
        <w:tc>
          <w:tcPr>
            <w:tcW w:w="7370" w:type="dxa"/>
            <w:shd w:val="clear" w:color="auto" w:fill="auto"/>
          </w:tcPr>
          <w:p w:rsidR="00F352F7" w:rsidRPr="0059086F" w:rsidRDefault="00F352F7" w:rsidP="0006654B">
            <w:pPr>
              <w:rPr>
                <w:rFonts w:ascii="Calibri" w:hAnsi="Calibri" w:cs="Arial"/>
                <w:sz w:val="24"/>
                <w:szCs w:val="24"/>
              </w:rPr>
            </w:pPr>
            <w:r>
              <w:rPr>
                <w:rFonts w:ascii="Calibri" w:hAnsi="Calibri" w:cs="Arial"/>
                <w:sz w:val="24"/>
                <w:szCs w:val="24"/>
              </w:rPr>
              <w:t>Evidence of the agency’s understanding of and committed to Coordinated Entry.</w:t>
            </w:r>
          </w:p>
        </w:tc>
        <w:tc>
          <w:tcPr>
            <w:tcW w:w="1658" w:type="dxa"/>
            <w:shd w:val="clear" w:color="auto" w:fill="auto"/>
          </w:tcPr>
          <w:p w:rsidR="00F352F7" w:rsidRPr="0006654B" w:rsidRDefault="00F352F7" w:rsidP="0006654B">
            <w:pPr>
              <w:jc w:val="center"/>
              <w:rPr>
                <w:rFonts w:ascii="Calibri" w:hAnsi="Calibri" w:cs="Arial"/>
                <w:sz w:val="24"/>
                <w:szCs w:val="24"/>
              </w:rPr>
            </w:pPr>
            <w:r>
              <w:rPr>
                <w:rFonts w:ascii="Calibri" w:hAnsi="Calibri" w:cs="Arial"/>
                <w:sz w:val="24"/>
                <w:szCs w:val="24"/>
              </w:rPr>
              <w:t>5</w:t>
            </w:r>
          </w:p>
        </w:tc>
      </w:tr>
      <w:tr w:rsidR="0006654B" w:rsidRPr="008F4A85" w:rsidTr="0059086F">
        <w:tc>
          <w:tcPr>
            <w:tcW w:w="548" w:type="dxa"/>
            <w:shd w:val="clear" w:color="auto" w:fill="auto"/>
          </w:tcPr>
          <w:p w:rsidR="0006654B" w:rsidRPr="0006654B" w:rsidRDefault="0006654B" w:rsidP="00C97CD0">
            <w:pPr>
              <w:rPr>
                <w:rFonts w:ascii="Calibri" w:hAnsi="Calibri" w:cs="Arial"/>
                <w:sz w:val="24"/>
                <w:szCs w:val="24"/>
              </w:rPr>
            </w:pPr>
          </w:p>
        </w:tc>
        <w:tc>
          <w:tcPr>
            <w:tcW w:w="7370" w:type="dxa"/>
            <w:shd w:val="clear" w:color="auto" w:fill="auto"/>
          </w:tcPr>
          <w:p w:rsidR="0006654B" w:rsidRPr="0006654B" w:rsidRDefault="0006654B" w:rsidP="0006654B">
            <w:pPr>
              <w:rPr>
                <w:rFonts w:ascii="Calibri" w:hAnsi="Calibri" w:cs="Arial"/>
                <w:sz w:val="24"/>
                <w:szCs w:val="24"/>
              </w:rPr>
            </w:pPr>
            <w:r w:rsidRPr="0059086F">
              <w:rPr>
                <w:rFonts w:ascii="Calibri" w:hAnsi="Calibri" w:cs="Arial"/>
                <w:sz w:val="24"/>
                <w:szCs w:val="24"/>
              </w:rPr>
              <w:t>The relative need for the applicant’s proposed services as indicated by the Springfield 2015 point-in-time count</w:t>
            </w:r>
            <w:r w:rsidR="001E2BCC">
              <w:rPr>
                <w:rFonts w:ascii="Calibri" w:hAnsi="Calibri" w:cs="Arial"/>
                <w:sz w:val="24"/>
                <w:szCs w:val="24"/>
              </w:rPr>
              <w:t xml:space="preserve"> and gaps analysis (Hampden Continuum of Care will provide point-in-time data and gaps analysis directly to the review committee.)</w:t>
            </w:r>
          </w:p>
        </w:tc>
        <w:tc>
          <w:tcPr>
            <w:tcW w:w="1658" w:type="dxa"/>
            <w:shd w:val="clear" w:color="auto" w:fill="auto"/>
          </w:tcPr>
          <w:p w:rsidR="0006654B" w:rsidRPr="0006654B" w:rsidRDefault="0006654B" w:rsidP="0006654B">
            <w:pPr>
              <w:jc w:val="center"/>
              <w:rPr>
                <w:rFonts w:ascii="Calibri" w:hAnsi="Calibri" w:cs="Arial"/>
                <w:sz w:val="24"/>
                <w:szCs w:val="24"/>
              </w:rPr>
            </w:pPr>
            <w:r w:rsidRPr="0006654B">
              <w:rPr>
                <w:rFonts w:ascii="Calibri" w:hAnsi="Calibri" w:cs="Arial"/>
                <w:sz w:val="24"/>
                <w:szCs w:val="24"/>
              </w:rPr>
              <w:t>10</w:t>
            </w:r>
          </w:p>
        </w:tc>
      </w:tr>
      <w:tr w:rsidR="0006654B" w:rsidRPr="008F4A85" w:rsidTr="0059086F">
        <w:tc>
          <w:tcPr>
            <w:tcW w:w="9576" w:type="dxa"/>
            <w:gridSpan w:val="3"/>
            <w:shd w:val="clear" w:color="auto" w:fill="E6E6E6"/>
          </w:tcPr>
          <w:p w:rsidR="0006654B" w:rsidRPr="0059086F" w:rsidRDefault="0006654B" w:rsidP="003264CA">
            <w:pPr>
              <w:rPr>
                <w:rFonts w:ascii="Calibri" w:hAnsi="Calibri" w:cs="Arial"/>
                <w:sz w:val="24"/>
                <w:szCs w:val="24"/>
              </w:rPr>
            </w:pPr>
            <w:r w:rsidRPr="0059086F">
              <w:rPr>
                <w:rFonts w:ascii="Calibri" w:hAnsi="Calibri" w:cs="Arial"/>
                <w:b/>
                <w:sz w:val="24"/>
                <w:szCs w:val="24"/>
              </w:rPr>
              <w:t>Organizational Capacity</w:t>
            </w:r>
            <w:r w:rsidRPr="0059086F">
              <w:rPr>
                <w:rFonts w:ascii="Calibri" w:hAnsi="Calibri" w:cs="Arial"/>
                <w:sz w:val="24"/>
                <w:szCs w:val="24"/>
              </w:rPr>
              <w:t xml:space="preserve"> (Maximum 30 points)</w:t>
            </w:r>
          </w:p>
        </w:tc>
      </w:tr>
      <w:tr w:rsidR="0006654B" w:rsidRPr="008F4A85" w:rsidTr="0059086F">
        <w:tc>
          <w:tcPr>
            <w:tcW w:w="548" w:type="dxa"/>
            <w:vMerge w:val="restart"/>
            <w:shd w:val="clear" w:color="auto" w:fill="auto"/>
          </w:tcPr>
          <w:p w:rsidR="0006654B" w:rsidRPr="008F4A85" w:rsidRDefault="0006654B" w:rsidP="003264CA">
            <w:pPr>
              <w:rPr>
                <w:rFonts w:ascii="Calibri" w:hAnsi="Calibri" w:cs="Arial"/>
                <w:sz w:val="24"/>
                <w:szCs w:val="24"/>
                <w:highlight w:val="yellow"/>
              </w:rPr>
            </w:pPr>
          </w:p>
        </w:tc>
        <w:tc>
          <w:tcPr>
            <w:tcW w:w="7370" w:type="dxa"/>
            <w:shd w:val="clear" w:color="auto" w:fill="auto"/>
          </w:tcPr>
          <w:p w:rsidR="0006654B" w:rsidRPr="0059086F" w:rsidRDefault="0059086F" w:rsidP="0059086F">
            <w:pPr>
              <w:rPr>
                <w:rFonts w:ascii="Calibri" w:hAnsi="Calibri" w:cs="Arial"/>
                <w:sz w:val="24"/>
                <w:szCs w:val="24"/>
              </w:rPr>
            </w:pPr>
            <w:r w:rsidRPr="0059086F">
              <w:rPr>
                <w:rFonts w:ascii="Calibri" w:hAnsi="Calibri" w:cs="Arial"/>
                <w:sz w:val="24"/>
                <w:szCs w:val="24"/>
              </w:rPr>
              <w:t xml:space="preserve">Prior receipt of </w:t>
            </w:r>
            <w:r w:rsidR="0006654B" w:rsidRPr="0059086F">
              <w:rPr>
                <w:rFonts w:ascii="Calibri" w:hAnsi="Calibri" w:cs="Arial"/>
                <w:sz w:val="24"/>
                <w:szCs w:val="24"/>
              </w:rPr>
              <w:t xml:space="preserve">ESG </w:t>
            </w:r>
            <w:r w:rsidRPr="0059086F">
              <w:rPr>
                <w:rFonts w:ascii="Calibri" w:hAnsi="Calibri" w:cs="Arial"/>
                <w:sz w:val="24"/>
                <w:szCs w:val="24"/>
              </w:rPr>
              <w:t>or other federal funding</w:t>
            </w:r>
            <w:r w:rsidR="0006654B" w:rsidRPr="0059086F">
              <w:rPr>
                <w:rFonts w:ascii="Calibri" w:hAnsi="Calibri" w:cs="Arial"/>
                <w:sz w:val="24"/>
                <w:szCs w:val="24"/>
              </w:rPr>
              <w:t>.</w:t>
            </w:r>
          </w:p>
        </w:tc>
        <w:tc>
          <w:tcPr>
            <w:tcW w:w="1658" w:type="dxa"/>
            <w:shd w:val="clear" w:color="auto" w:fill="auto"/>
            <w:vAlign w:val="center"/>
          </w:tcPr>
          <w:p w:rsidR="0006654B" w:rsidRPr="0059086F" w:rsidRDefault="0071037C" w:rsidP="003264CA">
            <w:pPr>
              <w:jc w:val="center"/>
              <w:rPr>
                <w:rFonts w:ascii="Calibri" w:hAnsi="Calibri" w:cs="Arial"/>
                <w:sz w:val="24"/>
                <w:szCs w:val="24"/>
              </w:rPr>
            </w:pPr>
            <w:r>
              <w:rPr>
                <w:rFonts w:ascii="Calibri" w:hAnsi="Calibri" w:cs="Arial"/>
                <w:sz w:val="24"/>
                <w:szCs w:val="24"/>
              </w:rPr>
              <w:t>3</w:t>
            </w:r>
            <w:bookmarkStart w:id="0" w:name="_GoBack"/>
            <w:bookmarkEnd w:id="0"/>
          </w:p>
        </w:tc>
      </w:tr>
      <w:tr w:rsidR="0006654B" w:rsidRPr="008F4A85" w:rsidTr="0059086F">
        <w:tc>
          <w:tcPr>
            <w:tcW w:w="548" w:type="dxa"/>
            <w:vMerge/>
            <w:shd w:val="clear" w:color="auto" w:fill="auto"/>
          </w:tcPr>
          <w:p w:rsidR="0006654B" w:rsidRPr="008F4A85" w:rsidRDefault="0006654B" w:rsidP="003264CA">
            <w:pPr>
              <w:rPr>
                <w:rFonts w:ascii="Calibri" w:hAnsi="Calibri" w:cs="Arial"/>
                <w:sz w:val="24"/>
                <w:szCs w:val="24"/>
                <w:highlight w:val="yellow"/>
              </w:rPr>
            </w:pPr>
          </w:p>
        </w:tc>
        <w:tc>
          <w:tcPr>
            <w:tcW w:w="7370" w:type="dxa"/>
            <w:shd w:val="clear" w:color="auto" w:fill="auto"/>
          </w:tcPr>
          <w:p w:rsidR="0006654B" w:rsidRPr="0059086F" w:rsidRDefault="0006654B" w:rsidP="0059086F">
            <w:pPr>
              <w:rPr>
                <w:rFonts w:ascii="Calibri" w:hAnsi="Calibri" w:cs="Arial"/>
                <w:sz w:val="24"/>
                <w:szCs w:val="24"/>
              </w:rPr>
            </w:pPr>
            <w:r w:rsidRPr="0059086F">
              <w:rPr>
                <w:rFonts w:ascii="Calibri" w:hAnsi="Calibri" w:cs="Arial"/>
                <w:sz w:val="24"/>
                <w:szCs w:val="24"/>
              </w:rPr>
              <w:t xml:space="preserve">Experience operating </w:t>
            </w:r>
            <w:r w:rsidR="0059086F" w:rsidRPr="0059086F">
              <w:rPr>
                <w:rFonts w:ascii="Calibri" w:hAnsi="Calibri" w:cs="Arial"/>
                <w:sz w:val="24"/>
                <w:szCs w:val="24"/>
              </w:rPr>
              <w:t>type of program being proposed in the application.</w:t>
            </w:r>
          </w:p>
        </w:tc>
        <w:tc>
          <w:tcPr>
            <w:tcW w:w="1658" w:type="dxa"/>
            <w:shd w:val="clear" w:color="auto" w:fill="auto"/>
            <w:vAlign w:val="center"/>
          </w:tcPr>
          <w:p w:rsidR="0006654B" w:rsidRPr="0059086F" w:rsidRDefault="0071037C" w:rsidP="003264CA">
            <w:pPr>
              <w:jc w:val="center"/>
              <w:rPr>
                <w:rFonts w:ascii="Calibri" w:hAnsi="Calibri" w:cs="Arial"/>
                <w:sz w:val="24"/>
                <w:szCs w:val="24"/>
              </w:rPr>
            </w:pPr>
            <w:r>
              <w:rPr>
                <w:rFonts w:ascii="Calibri" w:hAnsi="Calibri" w:cs="Arial"/>
                <w:sz w:val="24"/>
                <w:szCs w:val="24"/>
              </w:rPr>
              <w:t>3</w:t>
            </w:r>
          </w:p>
        </w:tc>
      </w:tr>
      <w:tr w:rsidR="0027659C" w:rsidRPr="008F4A85" w:rsidTr="0059086F">
        <w:tc>
          <w:tcPr>
            <w:tcW w:w="548" w:type="dxa"/>
            <w:vMerge/>
            <w:shd w:val="clear" w:color="auto" w:fill="auto"/>
          </w:tcPr>
          <w:p w:rsidR="0027659C" w:rsidRPr="008F4A85" w:rsidRDefault="0027659C" w:rsidP="003264CA">
            <w:pPr>
              <w:rPr>
                <w:rFonts w:ascii="Calibri" w:hAnsi="Calibri" w:cs="Arial"/>
                <w:sz w:val="24"/>
                <w:szCs w:val="24"/>
                <w:highlight w:val="yellow"/>
              </w:rPr>
            </w:pPr>
          </w:p>
        </w:tc>
        <w:tc>
          <w:tcPr>
            <w:tcW w:w="7370" w:type="dxa"/>
            <w:shd w:val="clear" w:color="auto" w:fill="auto"/>
          </w:tcPr>
          <w:p w:rsidR="0027659C" w:rsidRPr="0059086F" w:rsidRDefault="0027659C" w:rsidP="003264CA">
            <w:pPr>
              <w:rPr>
                <w:rFonts w:ascii="Calibri" w:hAnsi="Calibri" w:cs="Arial"/>
                <w:sz w:val="24"/>
                <w:szCs w:val="24"/>
              </w:rPr>
            </w:pPr>
            <w:r w:rsidRPr="0059086F">
              <w:rPr>
                <w:rFonts w:ascii="Calibri" w:hAnsi="Calibri"/>
                <w:sz w:val="24"/>
                <w:szCs w:val="24"/>
              </w:rPr>
              <w:t>Experience managing homelessness or housing programs by key management staff.  Key management staff includes the organization’s Executive Director, Chief Financial Officer, and directors of homeless assistance programs.</w:t>
            </w:r>
          </w:p>
        </w:tc>
        <w:tc>
          <w:tcPr>
            <w:tcW w:w="1658" w:type="dxa"/>
            <w:shd w:val="clear" w:color="auto" w:fill="auto"/>
            <w:vAlign w:val="center"/>
          </w:tcPr>
          <w:p w:rsidR="0027659C" w:rsidRPr="0059086F" w:rsidRDefault="0071037C" w:rsidP="003264CA">
            <w:pPr>
              <w:jc w:val="center"/>
              <w:rPr>
                <w:rFonts w:ascii="Calibri" w:hAnsi="Calibri" w:cs="Arial"/>
                <w:sz w:val="24"/>
                <w:szCs w:val="24"/>
              </w:rPr>
            </w:pPr>
            <w:r>
              <w:rPr>
                <w:rFonts w:ascii="Calibri" w:hAnsi="Calibri" w:cs="Arial"/>
                <w:sz w:val="24"/>
                <w:szCs w:val="24"/>
              </w:rPr>
              <w:t>4</w:t>
            </w:r>
          </w:p>
        </w:tc>
      </w:tr>
      <w:tr w:rsidR="0006654B" w:rsidRPr="008F4A85" w:rsidTr="0059086F">
        <w:tc>
          <w:tcPr>
            <w:tcW w:w="548" w:type="dxa"/>
            <w:vMerge/>
            <w:shd w:val="clear" w:color="auto" w:fill="auto"/>
          </w:tcPr>
          <w:p w:rsidR="0006654B" w:rsidRPr="008F4A85" w:rsidRDefault="0006654B" w:rsidP="003264CA">
            <w:pPr>
              <w:rPr>
                <w:rFonts w:ascii="Calibri" w:hAnsi="Calibri" w:cs="Arial"/>
                <w:sz w:val="24"/>
                <w:szCs w:val="24"/>
                <w:highlight w:val="yellow"/>
              </w:rPr>
            </w:pPr>
          </w:p>
        </w:tc>
        <w:tc>
          <w:tcPr>
            <w:tcW w:w="7370" w:type="dxa"/>
            <w:shd w:val="clear" w:color="auto" w:fill="auto"/>
          </w:tcPr>
          <w:p w:rsidR="0006654B" w:rsidRPr="0059086F" w:rsidRDefault="0006654B" w:rsidP="003264CA">
            <w:pPr>
              <w:rPr>
                <w:rFonts w:ascii="Calibri" w:hAnsi="Calibri" w:cs="Arial"/>
                <w:sz w:val="24"/>
                <w:szCs w:val="24"/>
              </w:rPr>
            </w:pPr>
            <w:r w:rsidRPr="0059086F">
              <w:rPr>
                <w:rFonts w:ascii="Calibri" w:hAnsi="Calibri" w:cs="Arial"/>
                <w:sz w:val="24"/>
                <w:szCs w:val="24"/>
              </w:rPr>
              <w:t>Evidence of involvement by homeless persons in maintaining and operating facilities and in providing services.</w:t>
            </w:r>
          </w:p>
        </w:tc>
        <w:tc>
          <w:tcPr>
            <w:tcW w:w="1658" w:type="dxa"/>
            <w:shd w:val="clear" w:color="auto" w:fill="auto"/>
            <w:vAlign w:val="center"/>
          </w:tcPr>
          <w:p w:rsidR="0006654B" w:rsidRPr="0059086F" w:rsidRDefault="0006654B" w:rsidP="003264CA">
            <w:pPr>
              <w:jc w:val="center"/>
              <w:rPr>
                <w:rFonts w:ascii="Calibri" w:hAnsi="Calibri" w:cs="Arial"/>
                <w:sz w:val="24"/>
                <w:szCs w:val="24"/>
              </w:rPr>
            </w:pPr>
            <w:r w:rsidRPr="0059086F">
              <w:rPr>
                <w:rFonts w:ascii="Calibri" w:hAnsi="Calibri" w:cs="Arial"/>
                <w:sz w:val="24"/>
                <w:szCs w:val="24"/>
              </w:rPr>
              <w:t>3</w:t>
            </w:r>
          </w:p>
        </w:tc>
      </w:tr>
      <w:tr w:rsidR="0006654B" w:rsidRPr="008F4A85" w:rsidTr="0059086F">
        <w:tc>
          <w:tcPr>
            <w:tcW w:w="548" w:type="dxa"/>
            <w:vMerge/>
            <w:shd w:val="clear" w:color="auto" w:fill="auto"/>
          </w:tcPr>
          <w:p w:rsidR="0006654B" w:rsidRPr="008F4A85" w:rsidRDefault="0006654B" w:rsidP="003264CA">
            <w:pPr>
              <w:rPr>
                <w:rFonts w:ascii="Calibri" w:hAnsi="Calibri" w:cs="Arial"/>
                <w:sz w:val="24"/>
                <w:szCs w:val="24"/>
                <w:highlight w:val="yellow"/>
              </w:rPr>
            </w:pPr>
          </w:p>
        </w:tc>
        <w:tc>
          <w:tcPr>
            <w:tcW w:w="7370" w:type="dxa"/>
            <w:shd w:val="clear" w:color="auto" w:fill="auto"/>
          </w:tcPr>
          <w:p w:rsidR="0006654B" w:rsidRPr="0059086F" w:rsidRDefault="0006654B" w:rsidP="003264CA">
            <w:pPr>
              <w:rPr>
                <w:rFonts w:ascii="Calibri" w:hAnsi="Calibri"/>
                <w:sz w:val="24"/>
                <w:szCs w:val="24"/>
              </w:rPr>
            </w:pPr>
            <w:r w:rsidRPr="0059086F">
              <w:rPr>
                <w:rFonts w:ascii="Calibri" w:hAnsi="Calibri"/>
                <w:sz w:val="24"/>
                <w:szCs w:val="24"/>
              </w:rPr>
              <w:t>Evidence of at least one homeless/formerly homeless individual on Board of Directors or other policy-making board.</w:t>
            </w:r>
          </w:p>
        </w:tc>
        <w:tc>
          <w:tcPr>
            <w:tcW w:w="1658" w:type="dxa"/>
            <w:shd w:val="clear" w:color="auto" w:fill="auto"/>
            <w:vAlign w:val="center"/>
          </w:tcPr>
          <w:p w:rsidR="0006654B" w:rsidRPr="0059086F" w:rsidRDefault="0006654B" w:rsidP="003264CA">
            <w:pPr>
              <w:jc w:val="center"/>
              <w:rPr>
                <w:rFonts w:ascii="Calibri" w:hAnsi="Calibri" w:cs="Arial"/>
                <w:sz w:val="24"/>
                <w:szCs w:val="24"/>
              </w:rPr>
            </w:pPr>
            <w:r w:rsidRPr="0059086F">
              <w:rPr>
                <w:rFonts w:ascii="Calibri" w:hAnsi="Calibri" w:cs="Arial"/>
                <w:sz w:val="24"/>
                <w:szCs w:val="24"/>
              </w:rPr>
              <w:t>3</w:t>
            </w:r>
          </w:p>
        </w:tc>
      </w:tr>
      <w:tr w:rsidR="0006654B" w:rsidRPr="008F4A85" w:rsidTr="0059086F">
        <w:tc>
          <w:tcPr>
            <w:tcW w:w="548" w:type="dxa"/>
            <w:vMerge/>
            <w:shd w:val="clear" w:color="auto" w:fill="auto"/>
          </w:tcPr>
          <w:p w:rsidR="0006654B" w:rsidRPr="008F4A85" w:rsidRDefault="0006654B" w:rsidP="003264CA">
            <w:pPr>
              <w:rPr>
                <w:rFonts w:ascii="Calibri" w:hAnsi="Calibri" w:cs="Arial"/>
                <w:sz w:val="24"/>
                <w:szCs w:val="24"/>
                <w:highlight w:val="yellow"/>
              </w:rPr>
            </w:pPr>
          </w:p>
        </w:tc>
        <w:tc>
          <w:tcPr>
            <w:tcW w:w="7370" w:type="dxa"/>
            <w:shd w:val="clear" w:color="auto" w:fill="auto"/>
          </w:tcPr>
          <w:p w:rsidR="0006654B" w:rsidRPr="0059086F" w:rsidRDefault="0027659C" w:rsidP="003264CA">
            <w:pPr>
              <w:rPr>
                <w:rFonts w:ascii="Calibri" w:hAnsi="Calibri" w:cs="Arial"/>
                <w:sz w:val="24"/>
                <w:szCs w:val="24"/>
              </w:rPr>
            </w:pPr>
            <w:r w:rsidRPr="0059086F">
              <w:rPr>
                <w:rFonts w:ascii="Calibri" w:hAnsi="Calibri" w:cs="Arial"/>
                <w:sz w:val="24"/>
                <w:szCs w:val="24"/>
              </w:rPr>
              <w:t xml:space="preserve">Experience using HMIS </w:t>
            </w:r>
            <w:r w:rsidRPr="0059086F">
              <w:rPr>
                <w:rFonts w:ascii="Calibri" w:hAnsi="Calibri" w:cs="Arial"/>
                <w:b/>
                <w:i/>
                <w:sz w:val="24"/>
                <w:szCs w:val="24"/>
              </w:rPr>
              <w:t>and</w:t>
            </w:r>
            <w:r w:rsidRPr="0059086F">
              <w:rPr>
                <w:rFonts w:ascii="Calibri" w:hAnsi="Calibri" w:cs="Arial"/>
                <w:sz w:val="24"/>
                <w:szCs w:val="24"/>
              </w:rPr>
              <w:t xml:space="preserve"> evidence of </w:t>
            </w:r>
            <w:r>
              <w:rPr>
                <w:rFonts w:ascii="Calibri" w:hAnsi="Calibri" w:cs="Arial"/>
                <w:sz w:val="24"/>
                <w:szCs w:val="24"/>
              </w:rPr>
              <w:t xml:space="preserve">responsible HMIS practices and </w:t>
            </w:r>
            <w:r w:rsidRPr="0059086F">
              <w:rPr>
                <w:rFonts w:ascii="Calibri" w:hAnsi="Calibri" w:cs="Arial"/>
                <w:sz w:val="24"/>
                <w:szCs w:val="24"/>
              </w:rPr>
              <w:t>high data quality (report on data quality will be provided directly to the review committee by the Continuum of Care HMIS Lead)</w:t>
            </w:r>
          </w:p>
        </w:tc>
        <w:tc>
          <w:tcPr>
            <w:tcW w:w="1658" w:type="dxa"/>
            <w:shd w:val="clear" w:color="auto" w:fill="auto"/>
            <w:vAlign w:val="center"/>
          </w:tcPr>
          <w:p w:rsidR="0006654B" w:rsidRPr="0059086F" w:rsidRDefault="0006654B" w:rsidP="003264CA">
            <w:pPr>
              <w:jc w:val="center"/>
              <w:rPr>
                <w:rFonts w:ascii="Calibri" w:hAnsi="Calibri" w:cs="Arial"/>
                <w:sz w:val="24"/>
                <w:szCs w:val="24"/>
              </w:rPr>
            </w:pPr>
            <w:r w:rsidRPr="0059086F">
              <w:rPr>
                <w:rFonts w:ascii="Calibri" w:hAnsi="Calibri" w:cs="Arial"/>
                <w:sz w:val="24"/>
                <w:szCs w:val="24"/>
              </w:rPr>
              <w:t>5</w:t>
            </w:r>
          </w:p>
        </w:tc>
      </w:tr>
      <w:tr w:rsidR="0006654B" w:rsidRPr="008F4A85" w:rsidTr="0059086F">
        <w:tc>
          <w:tcPr>
            <w:tcW w:w="548" w:type="dxa"/>
            <w:vMerge/>
            <w:tcBorders>
              <w:bottom w:val="single" w:sz="4" w:space="0" w:color="auto"/>
            </w:tcBorders>
            <w:shd w:val="clear" w:color="auto" w:fill="auto"/>
          </w:tcPr>
          <w:p w:rsidR="0006654B" w:rsidRPr="008F4A85" w:rsidRDefault="0006654B" w:rsidP="003264CA">
            <w:pPr>
              <w:rPr>
                <w:rFonts w:ascii="Calibri" w:hAnsi="Calibri" w:cs="Arial"/>
                <w:sz w:val="24"/>
                <w:szCs w:val="24"/>
                <w:highlight w:val="yellow"/>
              </w:rPr>
            </w:pPr>
          </w:p>
        </w:tc>
        <w:tc>
          <w:tcPr>
            <w:tcW w:w="7370" w:type="dxa"/>
            <w:tcBorders>
              <w:bottom w:val="single" w:sz="4" w:space="0" w:color="auto"/>
            </w:tcBorders>
            <w:shd w:val="clear" w:color="auto" w:fill="auto"/>
          </w:tcPr>
          <w:p w:rsidR="0006654B" w:rsidRPr="0059086F" w:rsidRDefault="0006654B" w:rsidP="003264CA">
            <w:pPr>
              <w:rPr>
                <w:rFonts w:ascii="Calibri" w:hAnsi="Calibri" w:cs="Arial"/>
                <w:sz w:val="24"/>
                <w:szCs w:val="24"/>
              </w:rPr>
            </w:pPr>
            <w:r w:rsidRPr="0059086F">
              <w:rPr>
                <w:rFonts w:ascii="Calibri" w:hAnsi="Calibri" w:cs="Arial"/>
                <w:sz w:val="24"/>
                <w:szCs w:val="24"/>
              </w:rPr>
              <w:t>Active participation in the Springfield- Hampden Continuum of Care and the Western Massachusetts Network to End Homelessness.</w:t>
            </w:r>
          </w:p>
        </w:tc>
        <w:tc>
          <w:tcPr>
            <w:tcW w:w="1658" w:type="dxa"/>
            <w:tcBorders>
              <w:bottom w:val="single" w:sz="4" w:space="0" w:color="auto"/>
            </w:tcBorders>
            <w:shd w:val="clear" w:color="auto" w:fill="auto"/>
            <w:vAlign w:val="center"/>
          </w:tcPr>
          <w:p w:rsidR="0006654B" w:rsidRPr="0059086F" w:rsidRDefault="0006654B" w:rsidP="003264CA">
            <w:pPr>
              <w:jc w:val="center"/>
              <w:rPr>
                <w:rFonts w:ascii="Calibri" w:hAnsi="Calibri" w:cs="Arial"/>
                <w:sz w:val="24"/>
                <w:szCs w:val="24"/>
              </w:rPr>
            </w:pPr>
            <w:r w:rsidRPr="0059086F">
              <w:rPr>
                <w:rFonts w:ascii="Calibri" w:hAnsi="Calibri" w:cs="Arial"/>
                <w:sz w:val="24"/>
                <w:szCs w:val="24"/>
              </w:rPr>
              <w:t>5</w:t>
            </w:r>
          </w:p>
        </w:tc>
      </w:tr>
      <w:tr w:rsidR="003264CA" w:rsidRPr="008F4A85" w:rsidTr="0059086F">
        <w:tc>
          <w:tcPr>
            <w:tcW w:w="548" w:type="dxa"/>
            <w:tcBorders>
              <w:bottom w:val="single" w:sz="4" w:space="0" w:color="auto"/>
            </w:tcBorders>
            <w:shd w:val="clear" w:color="auto" w:fill="auto"/>
          </w:tcPr>
          <w:p w:rsidR="003264CA" w:rsidRPr="008F4A85" w:rsidRDefault="003264CA" w:rsidP="003264CA">
            <w:pPr>
              <w:rPr>
                <w:rFonts w:ascii="Calibri" w:hAnsi="Calibri" w:cs="Arial"/>
                <w:sz w:val="24"/>
                <w:szCs w:val="24"/>
                <w:highlight w:val="yellow"/>
              </w:rPr>
            </w:pPr>
          </w:p>
        </w:tc>
        <w:tc>
          <w:tcPr>
            <w:tcW w:w="7370" w:type="dxa"/>
            <w:tcBorders>
              <w:bottom w:val="single" w:sz="4" w:space="0" w:color="auto"/>
            </w:tcBorders>
            <w:shd w:val="clear" w:color="auto" w:fill="auto"/>
          </w:tcPr>
          <w:p w:rsidR="003264CA" w:rsidRPr="0059086F" w:rsidRDefault="0027659C" w:rsidP="0027659C">
            <w:pPr>
              <w:rPr>
                <w:rFonts w:ascii="Calibri" w:hAnsi="Calibri" w:cs="Arial"/>
                <w:sz w:val="24"/>
                <w:szCs w:val="24"/>
              </w:rPr>
            </w:pPr>
            <w:r>
              <w:rPr>
                <w:rFonts w:ascii="Calibri" w:hAnsi="Calibri" w:cs="Arial"/>
                <w:sz w:val="24"/>
                <w:szCs w:val="24"/>
              </w:rPr>
              <w:t>Evidence that the applicant</w:t>
            </w:r>
            <w:r w:rsidR="003264CA" w:rsidRPr="0059086F">
              <w:rPr>
                <w:rFonts w:ascii="Calibri" w:hAnsi="Calibri" w:cs="Arial"/>
                <w:sz w:val="24"/>
                <w:szCs w:val="24"/>
              </w:rPr>
              <w:t xml:space="preserve"> </w:t>
            </w:r>
            <w:r>
              <w:rPr>
                <w:rFonts w:ascii="Calibri" w:hAnsi="Calibri" w:cs="Arial"/>
                <w:sz w:val="24"/>
                <w:szCs w:val="24"/>
              </w:rPr>
              <w:t>evaluates programs to measure success. For existing programs, review committee will also review HMIS data on past results.</w:t>
            </w:r>
          </w:p>
        </w:tc>
        <w:tc>
          <w:tcPr>
            <w:tcW w:w="1658" w:type="dxa"/>
            <w:tcBorders>
              <w:bottom w:val="single" w:sz="4" w:space="0" w:color="auto"/>
            </w:tcBorders>
            <w:shd w:val="clear" w:color="auto" w:fill="auto"/>
            <w:vAlign w:val="center"/>
          </w:tcPr>
          <w:p w:rsidR="003264CA" w:rsidRPr="0059086F" w:rsidRDefault="00A41829" w:rsidP="003264CA">
            <w:pPr>
              <w:jc w:val="center"/>
              <w:rPr>
                <w:rFonts w:ascii="Calibri" w:hAnsi="Calibri" w:cs="Arial"/>
                <w:sz w:val="24"/>
                <w:szCs w:val="24"/>
              </w:rPr>
            </w:pPr>
            <w:r>
              <w:rPr>
                <w:rFonts w:ascii="Calibri" w:hAnsi="Calibri" w:cs="Arial"/>
                <w:sz w:val="24"/>
                <w:szCs w:val="24"/>
              </w:rPr>
              <w:t>4</w:t>
            </w:r>
          </w:p>
        </w:tc>
      </w:tr>
      <w:tr w:rsidR="003264CA" w:rsidRPr="008F4A85" w:rsidTr="0059086F">
        <w:tc>
          <w:tcPr>
            <w:tcW w:w="9576" w:type="dxa"/>
            <w:gridSpan w:val="3"/>
            <w:shd w:val="clear" w:color="auto" w:fill="E6E6E6"/>
          </w:tcPr>
          <w:p w:rsidR="003264CA" w:rsidRPr="0059086F" w:rsidRDefault="0027659C" w:rsidP="0006654B">
            <w:pPr>
              <w:rPr>
                <w:rFonts w:ascii="Calibri" w:hAnsi="Calibri" w:cs="Arial"/>
                <w:sz w:val="24"/>
                <w:szCs w:val="24"/>
              </w:rPr>
            </w:pPr>
            <w:r>
              <w:rPr>
                <w:rFonts w:ascii="Calibri" w:hAnsi="Calibri" w:cs="Arial"/>
                <w:b/>
                <w:sz w:val="24"/>
                <w:szCs w:val="24"/>
              </w:rPr>
              <w:t xml:space="preserve">Financial Capacity, </w:t>
            </w:r>
            <w:r w:rsidR="003264CA" w:rsidRPr="0059086F">
              <w:rPr>
                <w:rFonts w:ascii="Calibri" w:hAnsi="Calibri" w:cs="Arial"/>
                <w:b/>
                <w:sz w:val="24"/>
                <w:szCs w:val="24"/>
              </w:rPr>
              <w:t xml:space="preserve">Budget and Match </w:t>
            </w:r>
            <w:r w:rsidR="003264CA" w:rsidRPr="0059086F">
              <w:rPr>
                <w:rFonts w:ascii="Calibri" w:hAnsi="Calibri" w:cs="Arial"/>
                <w:sz w:val="24"/>
                <w:szCs w:val="24"/>
              </w:rPr>
              <w:t xml:space="preserve">(Maximum </w:t>
            </w:r>
            <w:r w:rsidR="00F04174" w:rsidRPr="0059086F">
              <w:rPr>
                <w:rFonts w:ascii="Calibri" w:hAnsi="Calibri" w:cs="Arial"/>
                <w:sz w:val="24"/>
                <w:szCs w:val="24"/>
              </w:rPr>
              <w:t>30</w:t>
            </w:r>
            <w:r w:rsidR="003264CA" w:rsidRPr="0059086F">
              <w:rPr>
                <w:rFonts w:ascii="Calibri" w:hAnsi="Calibri" w:cs="Arial"/>
                <w:sz w:val="24"/>
                <w:szCs w:val="24"/>
              </w:rPr>
              <w:t xml:space="preserve"> points)</w:t>
            </w:r>
          </w:p>
        </w:tc>
      </w:tr>
      <w:tr w:rsidR="00A41829" w:rsidRPr="008F4A85" w:rsidTr="0059086F">
        <w:tc>
          <w:tcPr>
            <w:tcW w:w="548" w:type="dxa"/>
            <w:shd w:val="clear" w:color="auto" w:fill="auto"/>
          </w:tcPr>
          <w:p w:rsidR="00A41829" w:rsidRPr="008F4A85" w:rsidRDefault="00A41829" w:rsidP="00A41829">
            <w:pPr>
              <w:spacing w:after="120" w:line="276" w:lineRule="auto"/>
              <w:rPr>
                <w:rFonts w:ascii="Calibri" w:hAnsi="Calibri" w:cs="Arial"/>
                <w:sz w:val="24"/>
                <w:szCs w:val="24"/>
                <w:highlight w:val="yellow"/>
              </w:rPr>
            </w:pPr>
          </w:p>
        </w:tc>
        <w:tc>
          <w:tcPr>
            <w:tcW w:w="7370" w:type="dxa"/>
            <w:shd w:val="clear" w:color="auto" w:fill="auto"/>
          </w:tcPr>
          <w:p w:rsidR="00A41829" w:rsidRPr="0059086F" w:rsidRDefault="00A41829" w:rsidP="00A41829">
            <w:pPr>
              <w:rPr>
                <w:rFonts w:ascii="Calibri" w:hAnsi="Calibri" w:cs="Arial"/>
                <w:sz w:val="24"/>
                <w:szCs w:val="24"/>
              </w:rPr>
            </w:pPr>
            <w:r w:rsidRPr="0059086F">
              <w:rPr>
                <w:rFonts w:ascii="Calibri" w:hAnsi="Calibri" w:cs="Arial"/>
                <w:sz w:val="24"/>
                <w:szCs w:val="24"/>
              </w:rPr>
              <w:t xml:space="preserve">A detailed budget description with line items and the basis of cost for </w:t>
            </w:r>
            <w:r>
              <w:rPr>
                <w:rFonts w:ascii="Calibri" w:hAnsi="Calibri" w:cs="Arial"/>
                <w:sz w:val="24"/>
                <w:szCs w:val="24"/>
              </w:rPr>
              <w:t>each category</w:t>
            </w:r>
            <w:r w:rsidRPr="0059086F">
              <w:rPr>
                <w:rFonts w:ascii="Calibri" w:hAnsi="Calibri" w:cs="Arial"/>
                <w:sz w:val="24"/>
                <w:szCs w:val="24"/>
              </w:rPr>
              <w:t xml:space="preserve"> </w:t>
            </w:r>
          </w:p>
        </w:tc>
        <w:tc>
          <w:tcPr>
            <w:tcW w:w="1658" w:type="dxa"/>
            <w:shd w:val="clear" w:color="auto" w:fill="auto"/>
            <w:vAlign w:val="center"/>
          </w:tcPr>
          <w:p w:rsidR="00A41829" w:rsidRPr="0059086F" w:rsidRDefault="00A41829" w:rsidP="00A41829">
            <w:pPr>
              <w:jc w:val="center"/>
              <w:rPr>
                <w:rFonts w:ascii="Calibri" w:hAnsi="Calibri" w:cs="Arial"/>
                <w:sz w:val="24"/>
                <w:szCs w:val="24"/>
              </w:rPr>
            </w:pPr>
            <w:r>
              <w:rPr>
                <w:rFonts w:ascii="Calibri" w:hAnsi="Calibri" w:cs="Arial"/>
                <w:sz w:val="24"/>
                <w:szCs w:val="24"/>
              </w:rPr>
              <w:t>10</w:t>
            </w:r>
          </w:p>
        </w:tc>
      </w:tr>
      <w:tr w:rsidR="00A41829" w:rsidRPr="008F4A85" w:rsidTr="0059086F">
        <w:tc>
          <w:tcPr>
            <w:tcW w:w="548" w:type="dxa"/>
            <w:shd w:val="clear" w:color="auto" w:fill="auto"/>
          </w:tcPr>
          <w:p w:rsidR="00A41829" w:rsidRPr="008F4A85" w:rsidRDefault="00A41829" w:rsidP="00A41829">
            <w:pPr>
              <w:spacing w:after="120" w:line="276" w:lineRule="auto"/>
              <w:rPr>
                <w:rFonts w:ascii="Calibri" w:hAnsi="Calibri" w:cs="Arial"/>
                <w:sz w:val="24"/>
                <w:szCs w:val="24"/>
                <w:highlight w:val="yellow"/>
              </w:rPr>
            </w:pPr>
          </w:p>
        </w:tc>
        <w:tc>
          <w:tcPr>
            <w:tcW w:w="7370" w:type="dxa"/>
            <w:shd w:val="clear" w:color="auto" w:fill="auto"/>
          </w:tcPr>
          <w:p w:rsidR="00A41829" w:rsidRPr="0059086F" w:rsidRDefault="00A41829" w:rsidP="00A41829">
            <w:pPr>
              <w:rPr>
                <w:rFonts w:ascii="Calibri" w:hAnsi="Calibri" w:cs="Arial"/>
                <w:sz w:val="24"/>
                <w:szCs w:val="24"/>
              </w:rPr>
            </w:pPr>
            <w:r w:rsidRPr="0059086F">
              <w:rPr>
                <w:rFonts w:ascii="Calibri" w:hAnsi="Calibri" w:cs="Arial"/>
                <w:sz w:val="24"/>
                <w:szCs w:val="24"/>
              </w:rPr>
              <w:t>A detailed Match Table with a brief description and documentation of the source of match for all resources</w:t>
            </w:r>
            <w:r>
              <w:rPr>
                <w:rFonts w:ascii="Calibri" w:hAnsi="Calibri" w:cs="Arial"/>
                <w:sz w:val="24"/>
                <w:szCs w:val="24"/>
              </w:rPr>
              <w:t>; documentation of committed match is attached</w:t>
            </w:r>
          </w:p>
        </w:tc>
        <w:tc>
          <w:tcPr>
            <w:tcW w:w="1658" w:type="dxa"/>
            <w:shd w:val="clear" w:color="auto" w:fill="auto"/>
            <w:vAlign w:val="center"/>
          </w:tcPr>
          <w:p w:rsidR="00A41829" w:rsidRPr="0059086F" w:rsidRDefault="00A41829" w:rsidP="00A41829">
            <w:pPr>
              <w:jc w:val="center"/>
              <w:rPr>
                <w:rFonts w:ascii="Calibri" w:hAnsi="Calibri" w:cs="Arial"/>
                <w:sz w:val="24"/>
                <w:szCs w:val="24"/>
              </w:rPr>
            </w:pPr>
            <w:r>
              <w:rPr>
                <w:rFonts w:ascii="Calibri" w:hAnsi="Calibri" w:cs="Arial"/>
                <w:sz w:val="24"/>
                <w:szCs w:val="24"/>
              </w:rPr>
              <w:t>10</w:t>
            </w:r>
          </w:p>
        </w:tc>
      </w:tr>
      <w:tr w:rsidR="00A41829" w:rsidRPr="008F4A85" w:rsidTr="0059086F">
        <w:tc>
          <w:tcPr>
            <w:tcW w:w="548" w:type="dxa"/>
            <w:shd w:val="clear" w:color="auto" w:fill="auto"/>
          </w:tcPr>
          <w:p w:rsidR="00A41829" w:rsidRPr="008F4A85" w:rsidRDefault="00A41829" w:rsidP="00A41829">
            <w:pPr>
              <w:spacing w:after="120" w:line="276" w:lineRule="auto"/>
              <w:rPr>
                <w:rFonts w:ascii="Calibri" w:hAnsi="Calibri" w:cs="Arial"/>
                <w:sz w:val="24"/>
                <w:szCs w:val="24"/>
                <w:highlight w:val="yellow"/>
              </w:rPr>
            </w:pPr>
          </w:p>
        </w:tc>
        <w:tc>
          <w:tcPr>
            <w:tcW w:w="7370" w:type="dxa"/>
            <w:shd w:val="clear" w:color="auto" w:fill="auto"/>
          </w:tcPr>
          <w:p w:rsidR="00A41829" w:rsidRPr="0059086F" w:rsidRDefault="00A41829" w:rsidP="00A41829">
            <w:pPr>
              <w:rPr>
                <w:rFonts w:ascii="Calibri" w:hAnsi="Calibri" w:cs="Arial"/>
                <w:sz w:val="24"/>
                <w:szCs w:val="24"/>
              </w:rPr>
            </w:pPr>
            <w:r>
              <w:rPr>
                <w:rFonts w:ascii="Calibri" w:hAnsi="Calibri" w:cs="Arial"/>
                <w:sz w:val="24"/>
                <w:szCs w:val="24"/>
              </w:rPr>
              <w:t>No unresolved findings in agency audit.</w:t>
            </w:r>
          </w:p>
        </w:tc>
        <w:tc>
          <w:tcPr>
            <w:tcW w:w="1658" w:type="dxa"/>
            <w:shd w:val="clear" w:color="auto" w:fill="auto"/>
            <w:vAlign w:val="center"/>
          </w:tcPr>
          <w:p w:rsidR="00A41829" w:rsidRPr="0059086F" w:rsidRDefault="00A41829" w:rsidP="00A41829">
            <w:pPr>
              <w:jc w:val="center"/>
              <w:rPr>
                <w:rFonts w:ascii="Calibri" w:hAnsi="Calibri" w:cs="Arial"/>
                <w:sz w:val="24"/>
                <w:szCs w:val="24"/>
              </w:rPr>
            </w:pPr>
            <w:r>
              <w:rPr>
                <w:rFonts w:ascii="Calibri" w:hAnsi="Calibri" w:cs="Arial"/>
                <w:sz w:val="24"/>
                <w:szCs w:val="24"/>
              </w:rPr>
              <w:t>10</w:t>
            </w:r>
          </w:p>
        </w:tc>
      </w:tr>
    </w:tbl>
    <w:p w:rsidR="003264CA" w:rsidRPr="003264CA" w:rsidRDefault="003264CA" w:rsidP="003264CA">
      <w:pPr>
        <w:spacing w:after="120" w:line="276" w:lineRule="auto"/>
        <w:rPr>
          <w:rFonts w:ascii="Calibri" w:hAnsi="Calibri" w:cs="Arial"/>
          <w:sz w:val="24"/>
          <w:szCs w:val="24"/>
        </w:rPr>
      </w:pPr>
    </w:p>
    <w:p w:rsidR="003264CA" w:rsidRPr="003264CA" w:rsidRDefault="003264CA" w:rsidP="003264CA">
      <w:pPr>
        <w:spacing w:after="120" w:line="276" w:lineRule="auto"/>
        <w:rPr>
          <w:rFonts w:ascii="Calibri" w:hAnsi="Calibri" w:cs="Arial"/>
          <w:sz w:val="24"/>
          <w:szCs w:val="24"/>
        </w:rPr>
      </w:pPr>
    </w:p>
    <w:p w:rsidR="003264CA" w:rsidRPr="003264CA" w:rsidRDefault="003264CA" w:rsidP="003264CA">
      <w:pPr>
        <w:spacing w:after="120" w:line="276" w:lineRule="auto"/>
        <w:ind w:left="360"/>
        <w:rPr>
          <w:rFonts w:ascii="Calibri" w:hAnsi="Calibri" w:cs="Arial"/>
          <w:sz w:val="24"/>
          <w:szCs w:val="24"/>
        </w:rPr>
      </w:pPr>
    </w:p>
    <w:p w:rsidR="003264CA" w:rsidRPr="003264CA" w:rsidRDefault="003264CA" w:rsidP="003264CA">
      <w:pPr>
        <w:spacing w:after="120" w:line="276" w:lineRule="auto"/>
        <w:ind w:left="360"/>
        <w:rPr>
          <w:rFonts w:ascii="Calibri" w:hAnsi="Calibri" w:cs="Arial"/>
          <w:sz w:val="24"/>
          <w:szCs w:val="24"/>
        </w:rPr>
      </w:pPr>
    </w:p>
    <w:p w:rsidR="003264CA" w:rsidRPr="003264CA" w:rsidRDefault="003264CA" w:rsidP="003264CA">
      <w:pPr>
        <w:spacing w:after="120" w:line="276" w:lineRule="auto"/>
        <w:ind w:left="360"/>
        <w:rPr>
          <w:rFonts w:ascii="Calibri" w:hAnsi="Calibri" w:cs="Arial"/>
          <w:sz w:val="24"/>
          <w:szCs w:val="24"/>
        </w:rPr>
      </w:pPr>
    </w:p>
    <w:p w:rsidR="003264CA" w:rsidRPr="003264CA" w:rsidRDefault="003264CA" w:rsidP="003264CA">
      <w:pPr>
        <w:spacing w:after="120" w:line="276" w:lineRule="auto"/>
        <w:rPr>
          <w:rFonts w:ascii="Calibri" w:hAnsi="Calibri" w:cs="Arial"/>
          <w:sz w:val="24"/>
          <w:szCs w:val="24"/>
        </w:rPr>
      </w:pPr>
      <w:r w:rsidRPr="003264CA">
        <w:rPr>
          <w:rFonts w:ascii="Calibri" w:hAnsi="Calibri" w:cs="Arial"/>
          <w:sz w:val="24"/>
          <w:szCs w:val="24"/>
        </w:rPr>
        <w:br w:type="page"/>
      </w:r>
      <w:r w:rsidRPr="003264CA">
        <w:rPr>
          <w:rFonts w:ascii="Calibri" w:hAnsi="Calibri" w:cs="Arial"/>
          <w:b/>
          <w:sz w:val="24"/>
          <w:szCs w:val="24"/>
        </w:rPr>
        <w:lastRenderedPageBreak/>
        <w:t>APPENDIX A:  OTHER AGREEMENT REQUIREMENTS</w:t>
      </w:r>
    </w:p>
    <w:p w:rsidR="003264CA" w:rsidRPr="003264CA" w:rsidRDefault="003264CA" w:rsidP="003264CA">
      <w:pPr>
        <w:spacing w:after="120" w:line="276" w:lineRule="auto"/>
        <w:rPr>
          <w:rFonts w:ascii="Calibri" w:hAnsi="Calibri" w:cs="Arial"/>
          <w:sz w:val="24"/>
          <w:szCs w:val="24"/>
        </w:rPr>
      </w:pPr>
      <w:r w:rsidRPr="003264CA">
        <w:rPr>
          <w:rFonts w:ascii="Calibri" w:hAnsi="Calibri" w:cs="Arial"/>
          <w:b/>
          <w:sz w:val="24"/>
          <w:szCs w:val="24"/>
          <w:u w:val="single"/>
        </w:rPr>
        <w:t>OMB Circulars</w:t>
      </w:r>
    </w:p>
    <w:p w:rsidR="003264CA" w:rsidRDefault="003264CA" w:rsidP="00CE68AD">
      <w:pPr>
        <w:spacing w:after="120" w:line="276" w:lineRule="auto"/>
        <w:jc w:val="both"/>
        <w:rPr>
          <w:rFonts w:ascii="Calibri" w:hAnsi="Calibri" w:cs="Arial"/>
          <w:sz w:val="24"/>
          <w:szCs w:val="24"/>
        </w:rPr>
      </w:pPr>
      <w:r w:rsidRPr="003264CA">
        <w:rPr>
          <w:rFonts w:ascii="Calibri" w:hAnsi="Calibri" w:cs="Arial"/>
          <w:sz w:val="24"/>
          <w:szCs w:val="24"/>
        </w:rPr>
        <w:t>The ESG regulations that list the OMB Circulars and other documents that guide ESG compliance (regarding applicability of uniform administrative requirements) may found at:</w:t>
      </w:r>
      <w:r w:rsidR="00E06629">
        <w:rPr>
          <w:rFonts w:ascii="Calibri" w:hAnsi="Calibri" w:cs="Arial"/>
          <w:sz w:val="24"/>
          <w:szCs w:val="24"/>
        </w:rPr>
        <w:t xml:space="preserve"> </w:t>
      </w:r>
      <w:hyperlink r:id="rId14" w:history="1">
        <w:r w:rsidR="00E06629" w:rsidRPr="00007B0B">
          <w:rPr>
            <w:rStyle w:val="Hyperlink"/>
            <w:rFonts w:ascii="Calibri" w:hAnsi="Calibri" w:cs="Arial"/>
            <w:sz w:val="24"/>
            <w:szCs w:val="24"/>
          </w:rPr>
          <w:t>https://www.hudexchange.info/resource/1927/hearth-esg-program-and-consolidated-plan-conforming-amendments</w:t>
        </w:r>
      </w:hyperlink>
      <w:r w:rsidR="00E06629">
        <w:rPr>
          <w:rFonts w:ascii="Calibri" w:hAnsi="Calibri" w:cs="Arial"/>
          <w:sz w:val="24"/>
          <w:szCs w:val="24"/>
        </w:rPr>
        <w:t>.</w:t>
      </w:r>
    </w:p>
    <w:p w:rsidR="003264CA" w:rsidRPr="003264CA" w:rsidRDefault="003264CA" w:rsidP="00CE68AD">
      <w:pPr>
        <w:spacing w:after="120" w:line="276" w:lineRule="auto"/>
        <w:jc w:val="both"/>
        <w:rPr>
          <w:rFonts w:ascii="Calibri" w:hAnsi="Calibri" w:cs="Arial"/>
          <w:sz w:val="24"/>
          <w:szCs w:val="24"/>
        </w:rPr>
      </w:pPr>
      <w:r w:rsidRPr="003264CA">
        <w:rPr>
          <w:rFonts w:ascii="Calibri" w:hAnsi="Calibri" w:cs="Arial"/>
          <w:sz w:val="24"/>
          <w:szCs w:val="24"/>
        </w:rPr>
        <w:t xml:space="preserve">The Circulars listed in this section of the ESG regulations may be accessed via the following link to the OMB website: </w:t>
      </w:r>
      <w:hyperlink r:id="rId15" w:history="1">
        <w:r w:rsidRPr="003264CA">
          <w:rPr>
            <w:rFonts w:ascii="Calibri" w:hAnsi="Calibri" w:cs="Arial"/>
            <w:color w:val="0000FF"/>
            <w:sz w:val="24"/>
            <w:szCs w:val="24"/>
            <w:u w:val="single"/>
          </w:rPr>
          <w:t>http://www.whitehouse.gov/omb/circulars</w:t>
        </w:r>
      </w:hyperlink>
      <w:r w:rsidRPr="003264CA">
        <w:rPr>
          <w:rFonts w:ascii="Calibri" w:hAnsi="Calibri" w:cs="Arial"/>
          <w:sz w:val="24"/>
          <w:szCs w:val="24"/>
        </w:rPr>
        <w:t>.</w:t>
      </w:r>
    </w:p>
    <w:p w:rsidR="00C72709" w:rsidRPr="00C72709" w:rsidRDefault="00C72709" w:rsidP="00CE68AD">
      <w:pPr>
        <w:spacing w:after="120" w:line="276" w:lineRule="auto"/>
        <w:jc w:val="both"/>
        <w:rPr>
          <w:rFonts w:ascii="Calibri" w:hAnsi="Calibri" w:cs="Arial"/>
          <w:b/>
          <w:sz w:val="24"/>
          <w:szCs w:val="24"/>
          <w:u w:val="single"/>
        </w:rPr>
      </w:pPr>
      <w:r w:rsidRPr="00C72709">
        <w:rPr>
          <w:rFonts w:ascii="Calibri" w:hAnsi="Calibri" w:cs="Arial"/>
          <w:b/>
          <w:sz w:val="24"/>
          <w:szCs w:val="24"/>
          <w:u w:val="single"/>
        </w:rPr>
        <w:t>Vote of Corporation and Insurance</w:t>
      </w:r>
    </w:p>
    <w:p w:rsidR="003264CA" w:rsidRPr="003264CA" w:rsidRDefault="003264CA" w:rsidP="00CE68AD">
      <w:pPr>
        <w:spacing w:after="120" w:line="276" w:lineRule="auto"/>
        <w:jc w:val="both"/>
        <w:rPr>
          <w:rFonts w:ascii="Calibri" w:hAnsi="Calibri" w:cs="Arial"/>
          <w:sz w:val="24"/>
          <w:szCs w:val="24"/>
        </w:rPr>
      </w:pPr>
      <w:r w:rsidRPr="003264CA">
        <w:rPr>
          <w:rFonts w:ascii="Calibri" w:hAnsi="Calibri" w:cs="Arial"/>
          <w:sz w:val="24"/>
          <w:szCs w:val="24"/>
        </w:rPr>
        <w:t xml:space="preserve">In addition to complying with the above rules and regulations, submitting forms and attachments required as part of the RFP, and complying with the requirements laid out in the text of the RFP, </w:t>
      </w:r>
      <w:r w:rsidRPr="003264CA">
        <w:rPr>
          <w:rFonts w:ascii="Calibri" w:hAnsi="Calibri" w:cs="Arial"/>
          <w:sz w:val="24"/>
          <w:szCs w:val="24"/>
          <w:u w:val="single"/>
        </w:rPr>
        <w:t>organizations entering into contracts for programs</w:t>
      </w:r>
      <w:r w:rsidRPr="003264CA">
        <w:rPr>
          <w:rFonts w:ascii="Calibri" w:hAnsi="Calibri" w:cs="Arial"/>
          <w:sz w:val="24"/>
          <w:szCs w:val="24"/>
        </w:rPr>
        <w:t xml:space="preserve"> selected pursuant to this RFP will also be required to submit the following items (at the time of contracting):</w:t>
      </w:r>
    </w:p>
    <w:p w:rsidR="00C72709" w:rsidRPr="003264CA" w:rsidRDefault="00C72709" w:rsidP="00C72709">
      <w:pPr>
        <w:numPr>
          <w:ilvl w:val="0"/>
          <w:numId w:val="9"/>
        </w:numPr>
        <w:spacing w:line="276" w:lineRule="auto"/>
        <w:jc w:val="both"/>
        <w:rPr>
          <w:rFonts w:ascii="Calibri" w:hAnsi="Calibri" w:cs="Arial"/>
          <w:sz w:val="24"/>
          <w:szCs w:val="24"/>
        </w:rPr>
      </w:pPr>
      <w:r w:rsidRPr="003264CA">
        <w:rPr>
          <w:rFonts w:ascii="Calibri" w:hAnsi="Calibri" w:cs="Arial"/>
          <w:sz w:val="24"/>
          <w:szCs w:val="24"/>
        </w:rPr>
        <w:t>Completed Vote of Corporation Authorizing Execution of form</w:t>
      </w:r>
    </w:p>
    <w:p w:rsidR="003264CA" w:rsidRPr="003264CA" w:rsidRDefault="00C72709" w:rsidP="00C72709">
      <w:pPr>
        <w:numPr>
          <w:ilvl w:val="0"/>
          <w:numId w:val="9"/>
        </w:numPr>
        <w:spacing w:after="120" w:line="276" w:lineRule="auto"/>
        <w:jc w:val="both"/>
        <w:rPr>
          <w:rFonts w:ascii="Calibri" w:hAnsi="Calibri" w:cs="Arial"/>
          <w:sz w:val="24"/>
          <w:szCs w:val="24"/>
        </w:rPr>
      </w:pPr>
      <w:r>
        <w:rPr>
          <w:rFonts w:ascii="Calibri" w:hAnsi="Calibri" w:cs="Arial"/>
          <w:sz w:val="24"/>
          <w:szCs w:val="24"/>
        </w:rPr>
        <w:t xml:space="preserve">Insurance Certificate </w:t>
      </w:r>
    </w:p>
    <w:p w:rsidR="003264CA" w:rsidRPr="003264CA" w:rsidRDefault="003264CA" w:rsidP="00CE68AD">
      <w:pPr>
        <w:spacing w:after="120" w:line="276" w:lineRule="auto"/>
        <w:jc w:val="both"/>
        <w:rPr>
          <w:rFonts w:ascii="Calibri" w:hAnsi="Calibri" w:cs="Arial"/>
          <w:sz w:val="24"/>
          <w:szCs w:val="24"/>
        </w:rPr>
      </w:pPr>
      <w:r w:rsidRPr="003264CA">
        <w:rPr>
          <w:rFonts w:ascii="Calibri" w:hAnsi="Calibri" w:cs="Arial"/>
          <w:sz w:val="24"/>
          <w:szCs w:val="24"/>
        </w:rPr>
        <w:t xml:space="preserve">Unless the City determines otherwise, each certificate or policy shall carry the provision that the insurance shall not be canceled or reduced without the prior notice to the Office of Housing of the City of Springfield.  All the insurance required by this paragraph shall be and shall remain in full force and effect for the entire year, and </w:t>
      </w:r>
      <w:r w:rsidRPr="003264CA">
        <w:rPr>
          <w:rFonts w:ascii="Calibri" w:hAnsi="Calibri" w:cs="Arial"/>
          <w:b/>
          <w:sz w:val="24"/>
          <w:szCs w:val="24"/>
        </w:rPr>
        <w:t>THE CITY SHALL BE NAMED AS AN ADDITIONAL INSURED UNDER SUCH INSURANCE</w:t>
      </w:r>
      <w:r w:rsidRPr="003264CA">
        <w:rPr>
          <w:rFonts w:ascii="Calibri" w:hAnsi="Calibri" w:cs="Arial"/>
          <w:sz w:val="24"/>
          <w:szCs w:val="24"/>
        </w:rPr>
        <w:t>, which shall contain a stipulation that the insurance provided shall not terminate, lapse or otherwise expire, prior to thirty (30) days written notice to that effect, given by the insurance carrier to the City, and that the insurance carrier will not invoke the defense of performance of governmental function of the provider in performing their work with the City.</w:t>
      </w:r>
    </w:p>
    <w:p w:rsidR="003264CA" w:rsidRPr="003264CA" w:rsidRDefault="003264CA" w:rsidP="00CE68AD">
      <w:pPr>
        <w:spacing w:after="120" w:line="276" w:lineRule="auto"/>
        <w:jc w:val="both"/>
        <w:rPr>
          <w:rFonts w:ascii="Calibri" w:hAnsi="Calibri" w:cs="Arial"/>
          <w:sz w:val="24"/>
          <w:szCs w:val="24"/>
        </w:rPr>
      </w:pPr>
      <w:r w:rsidRPr="003264CA">
        <w:rPr>
          <w:rFonts w:ascii="Calibri" w:hAnsi="Calibri" w:cs="Arial"/>
          <w:sz w:val="24"/>
          <w:szCs w:val="24"/>
        </w:rPr>
        <w:t>The minimum limits Liability Coverage shall be as follows unless determined otherwise by the City at its sole discretion:</w:t>
      </w:r>
    </w:p>
    <w:p w:rsidR="003264CA" w:rsidRPr="00C72709" w:rsidRDefault="003264CA" w:rsidP="00CE68AD">
      <w:pPr>
        <w:numPr>
          <w:ilvl w:val="0"/>
          <w:numId w:val="10"/>
        </w:numPr>
        <w:spacing w:after="120" w:line="276" w:lineRule="auto"/>
        <w:ind w:left="360"/>
        <w:jc w:val="both"/>
        <w:rPr>
          <w:rFonts w:ascii="Calibri" w:hAnsi="Calibri" w:cs="Arial"/>
          <w:sz w:val="24"/>
          <w:szCs w:val="24"/>
        </w:rPr>
      </w:pPr>
      <w:r w:rsidRPr="00C72709">
        <w:rPr>
          <w:rFonts w:ascii="Calibri" w:hAnsi="Calibri" w:cs="Arial"/>
          <w:sz w:val="24"/>
          <w:szCs w:val="24"/>
        </w:rPr>
        <w:t>Comprehensive General Liability, including Premises and Operations, Elevator Liability, Provider’s Protective Liability, Products Liability including completed Operations Coverage; and Contractual Liability for the contract:  Limits $1,000,000/$2,000,000</w:t>
      </w:r>
    </w:p>
    <w:p w:rsidR="003264CA" w:rsidRPr="00C72709" w:rsidRDefault="003264CA" w:rsidP="00CE68AD">
      <w:pPr>
        <w:numPr>
          <w:ilvl w:val="0"/>
          <w:numId w:val="10"/>
        </w:numPr>
        <w:spacing w:after="120" w:line="276" w:lineRule="auto"/>
        <w:ind w:left="360"/>
        <w:jc w:val="both"/>
        <w:rPr>
          <w:rFonts w:ascii="Calibri" w:hAnsi="Calibri" w:cs="Arial"/>
          <w:sz w:val="24"/>
          <w:szCs w:val="24"/>
        </w:rPr>
      </w:pPr>
      <w:r w:rsidRPr="00C72709">
        <w:rPr>
          <w:rFonts w:ascii="Calibri" w:hAnsi="Calibri" w:cs="Arial"/>
          <w:sz w:val="24"/>
          <w:szCs w:val="24"/>
        </w:rPr>
        <w:t xml:space="preserve">Comprehensive Automobile Liability, including all owned Automobiles; Non-Owned automobiles; Hired Car Coverage (where applicable):  </w:t>
      </w:r>
      <w:r w:rsidR="00CE68AD" w:rsidRPr="00C72709">
        <w:rPr>
          <w:rFonts w:ascii="Calibri" w:hAnsi="Calibri" w:cs="Arial"/>
          <w:sz w:val="24"/>
          <w:szCs w:val="24"/>
        </w:rPr>
        <w:tab/>
      </w:r>
      <w:r w:rsidRPr="00C72709">
        <w:rPr>
          <w:rFonts w:ascii="Calibri" w:hAnsi="Calibri" w:cs="Arial"/>
          <w:sz w:val="24"/>
          <w:szCs w:val="24"/>
        </w:rPr>
        <w:t>Limits: $500,000/$1,000,000 (per occurrence/annual aggregate)</w:t>
      </w:r>
    </w:p>
    <w:p w:rsidR="003264CA" w:rsidRPr="00C72709" w:rsidRDefault="003264CA" w:rsidP="00C72709">
      <w:pPr>
        <w:numPr>
          <w:ilvl w:val="0"/>
          <w:numId w:val="10"/>
        </w:numPr>
        <w:spacing w:after="120" w:line="276" w:lineRule="auto"/>
        <w:ind w:left="360"/>
        <w:jc w:val="both"/>
        <w:rPr>
          <w:rFonts w:ascii="Calibri" w:hAnsi="Calibri" w:cs="Arial"/>
          <w:sz w:val="24"/>
          <w:szCs w:val="24"/>
        </w:rPr>
      </w:pPr>
      <w:r w:rsidRPr="00C72709">
        <w:rPr>
          <w:rFonts w:ascii="Calibri" w:hAnsi="Calibri" w:cs="Arial"/>
          <w:sz w:val="24"/>
          <w:szCs w:val="24"/>
        </w:rPr>
        <w:t>Workers Compensation, including Employer’s Liability:  Limits:  Statutory</w:t>
      </w:r>
      <w:r w:rsidR="00C72709" w:rsidRPr="00C72709">
        <w:rPr>
          <w:rFonts w:ascii="Calibri" w:hAnsi="Calibri" w:cs="Arial"/>
          <w:sz w:val="24"/>
          <w:szCs w:val="24"/>
        </w:rPr>
        <w:t xml:space="preserve">; </w:t>
      </w:r>
      <w:r w:rsidRPr="00C72709">
        <w:rPr>
          <w:rFonts w:ascii="Calibri" w:hAnsi="Calibri" w:cs="Arial"/>
          <w:sz w:val="24"/>
          <w:szCs w:val="24"/>
        </w:rPr>
        <w:t>Employer’s Liability:  $100,000</w:t>
      </w:r>
    </w:p>
    <w:p w:rsidR="003264CA" w:rsidRPr="003264CA" w:rsidRDefault="003264CA" w:rsidP="00CE68AD">
      <w:pPr>
        <w:spacing w:after="120" w:line="276" w:lineRule="auto"/>
        <w:jc w:val="both"/>
        <w:rPr>
          <w:rFonts w:ascii="Calibri" w:hAnsi="Calibri" w:cs="Arial"/>
          <w:sz w:val="24"/>
          <w:szCs w:val="24"/>
        </w:rPr>
      </w:pPr>
    </w:p>
    <w:p w:rsidR="003264CA" w:rsidRPr="003264CA" w:rsidRDefault="003264CA" w:rsidP="00CE68AD">
      <w:pPr>
        <w:spacing w:after="120" w:line="276" w:lineRule="auto"/>
        <w:jc w:val="both"/>
        <w:rPr>
          <w:rFonts w:ascii="Calibri" w:hAnsi="Calibri" w:cs="Arial"/>
          <w:sz w:val="24"/>
          <w:szCs w:val="24"/>
        </w:rPr>
      </w:pPr>
      <w:r w:rsidRPr="003264CA">
        <w:rPr>
          <w:rFonts w:ascii="Calibri" w:hAnsi="Calibri" w:cs="Arial"/>
          <w:sz w:val="24"/>
          <w:szCs w:val="24"/>
        </w:rPr>
        <w:t>Before an agreement is executed pursuant to proposals submitted through this RFP, all program sponsors will also be required to demonstrate:</w:t>
      </w:r>
    </w:p>
    <w:p w:rsidR="003264CA" w:rsidRPr="003264CA" w:rsidRDefault="003264CA" w:rsidP="00CE68AD">
      <w:pPr>
        <w:numPr>
          <w:ilvl w:val="0"/>
          <w:numId w:val="11"/>
        </w:numPr>
        <w:tabs>
          <w:tab w:val="num" w:pos="720"/>
        </w:tabs>
        <w:spacing w:after="120" w:line="276" w:lineRule="auto"/>
        <w:ind w:left="720" w:hanging="360"/>
        <w:jc w:val="both"/>
        <w:rPr>
          <w:rFonts w:ascii="Calibri" w:hAnsi="Calibri" w:cs="Arial"/>
          <w:sz w:val="24"/>
          <w:szCs w:val="24"/>
        </w:rPr>
      </w:pPr>
      <w:r w:rsidRPr="003264CA">
        <w:rPr>
          <w:rFonts w:ascii="Calibri" w:hAnsi="Calibri" w:cs="Arial"/>
          <w:sz w:val="24"/>
          <w:szCs w:val="24"/>
        </w:rPr>
        <w:t>An understanding and adherence to all applicable federal guidelines, all st</w:t>
      </w:r>
      <w:r w:rsidR="00CE68AD">
        <w:rPr>
          <w:rFonts w:ascii="Calibri" w:hAnsi="Calibri" w:cs="Arial"/>
          <w:sz w:val="24"/>
          <w:szCs w:val="24"/>
        </w:rPr>
        <w:t>ate and local guidelines, statut</w:t>
      </w:r>
      <w:r w:rsidRPr="003264CA">
        <w:rPr>
          <w:rFonts w:ascii="Calibri" w:hAnsi="Calibri" w:cs="Arial"/>
          <w:sz w:val="24"/>
          <w:szCs w:val="24"/>
        </w:rPr>
        <w:t>es and regulations, and that the organization is in good standing with HUD, the state, and the City (no unaddressed HUD findings or audit findings), and has not outstanding violations, taxes or penalties.  (A completed and notarized tax payment certification form, conflict of interest form and a debarment certificate are required attachments to RFP responses).</w:t>
      </w:r>
    </w:p>
    <w:p w:rsidR="003264CA" w:rsidRPr="003264CA" w:rsidRDefault="003264CA" w:rsidP="00CE68AD">
      <w:pPr>
        <w:numPr>
          <w:ilvl w:val="0"/>
          <w:numId w:val="11"/>
        </w:numPr>
        <w:tabs>
          <w:tab w:val="num" w:pos="720"/>
        </w:tabs>
        <w:spacing w:after="120" w:line="276" w:lineRule="auto"/>
        <w:ind w:left="720" w:hanging="360"/>
        <w:jc w:val="both"/>
        <w:rPr>
          <w:rFonts w:ascii="Calibri" w:hAnsi="Calibri" w:cs="Arial"/>
          <w:sz w:val="24"/>
          <w:szCs w:val="24"/>
        </w:rPr>
      </w:pPr>
      <w:r w:rsidRPr="003264CA">
        <w:rPr>
          <w:rFonts w:ascii="Calibri" w:hAnsi="Calibri" w:cs="Arial"/>
          <w:sz w:val="24"/>
          <w:szCs w:val="24"/>
        </w:rPr>
        <w:t>Provision of equal access to directly funded services for all eligible individuals regardless of race, color, religion, sex, age, national origin, familial status, sexual orientation, or handicap.</w:t>
      </w:r>
    </w:p>
    <w:p w:rsidR="003264CA" w:rsidRPr="003264CA" w:rsidRDefault="003264CA" w:rsidP="00CE68AD">
      <w:pPr>
        <w:numPr>
          <w:ilvl w:val="0"/>
          <w:numId w:val="11"/>
        </w:numPr>
        <w:tabs>
          <w:tab w:val="num" w:pos="720"/>
        </w:tabs>
        <w:spacing w:after="120" w:line="276" w:lineRule="auto"/>
        <w:ind w:left="720" w:hanging="360"/>
        <w:jc w:val="both"/>
        <w:rPr>
          <w:rFonts w:ascii="Calibri" w:hAnsi="Calibri" w:cs="Arial"/>
          <w:sz w:val="24"/>
          <w:szCs w:val="24"/>
        </w:rPr>
      </w:pPr>
      <w:r w:rsidRPr="003264CA">
        <w:rPr>
          <w:rFonts w:ascii="Calibri" w:hAnsi="Calibri" w:cs="Arial"/>
          <w:sz w:val="24"/>
          <w:szCs w:val="24"/>
        </w:rPr>
        <w:t>Establishment and maintenance of program records in conformity with HUD and Office of Community Development requirements.  All records must be available for regular monitoring by OCD or HUD and ensure the maintenance of client confidentiality through appropriate standards and practices.</w:t>
      </w:r>
    </w:p>
    <w:p w:rsidR="003264CA" w:rsidRPr="00B106FF" w:rsidRDefault="003264CA" w:rsidP="00CE68AD">
      <w:pPr>
        <w:numPr>
          <w:ilvl w:val="0"/>
          <w:numId w:val="11"/>
        </w:numPr>
        <w:tabs>
          <w:tab w:val="num" w:pos="720"/>
        </w:tabs>
        <w:spacing w:after="120" w:line="276" w:lineRule="auto"/>
        <w:ind w:left="720" w:hanging="360"/>
        <w:jc w:val="both"/>
        <w:rPr>
          <w:rFonts w:ascii="Calibri" w:hAnsi="Calibri"/>
          <w:sz w:val="24"/>
          <w:szCs w:val="24"/>
        </w:rPr>
      </w:pPr>
      <w:r w:rsidRPr="00B106FF">
        <w:rPr>
          <w:rFonts w:ascii="Calibri" w:hAnsi="Calibri"/>
          <w:sz w:val="24"/>
          <w:szCs w:val="24"/>
        </w:rPr>
        <w:t>Capacity to operate their programs for a minimum of 8 weeks fro</w:t>
      </w:r>
      <w:r w:rsidR="00CE68AD" w:rsidRPr="00B106FF">
        <w:rPr>
          <w:rFonts w:ascii="Calibri" w:hAnsi="Calibri"/>
          <w:sz w:val="24"/>
          <w:szCs w:val="24"/>
        </w:rPr>
        <w:t>m July 1, 2015</w:t>
      </w:r>
      <w:r w:rsidRPr="00B106FF">
        <w:rPr>
          <w:rFonts w:ascii="Calibri" w:hAnsi="Calibri"/>
          <w:sz w:val="24"/>
          <w:szCs w:val="24"/>
        </w:rPr>
        <w:t xml:space="preserve"> until said grant reimbursement funds become available for distribution.</w:t>
      </w:r>
    </w:p>
    <w:p w:rsidR="00FA13F0" w:rsidRDefault="00FA13F0" w:rsidP="00CE68AD">
      <w:pPr>
        <w:spacing w:line="276" w:lineRule="auto"/>
        <w:jc w:val="both"/>
      </w:pPr>
    </w:p>
    <w:p w:rsidR="009C76B6" w:rsidRDefault="009C76B6" w:rsidP="00FA13F0">
      <w:pPr>
        <w:spacing w:line="276" w:lineRule="auto"/>
        <w:jc w:val="center"/>
      </w:pPr>
    </w:p>
    <w:sectPr w:rsidR="009C76B6" w:rsidSect="00FA13F0">
      <w:headerReference w:type="default" r:id="rId16"/>
      <w:pgSz w:w="12240" w:h="15840" w:code="1"/>
      <w:pgMar w:top="1296" w:right="1440" w:bottom="1152" w:left="1440" w:header="720" w:footer="864"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63" w:rsidRDefault="004E0E63">
      <w:r>
        <w:separator/>
      </w:r>
    </w:p>
  </w:endnote>
  <w:endnote w:type="continuationSeparator" w:id="0">
    <w:p w:rsidR="004E0E63" w:rsidRDefault="004E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CA" w:rsidRDefault="003264CA" w:rsidP="00F84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64CA" w:rsidRDefault="00326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D1" w:rsidRDefault="00ED713D">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CA" w:rsidRDefault="003264CA">
    <w:pPr>
      <w:pStyle w:val="Footer"/>
      <w:jc w:val="center"/>
    </w:pPr>
    <w:r>
      <w:fldChar w:fldCharType="begin"/>
    </w:r>
    <w:r>
      <w:instrText xml:space="preserve"> PAGE   \* MERGEFORMAT </w:instrText>
    </w:r>
    <w:r>
      <w:fldChar w:fldCharType="separate"/>
    </w:r>
    <w:r w:rsidR="001E6831">
      <w:rPr>
        <w:noProof/>
      </w:rPr>
      <w:t>1</w:t>
    </w:r>
    <w:r>
      <w:rPr>
        <w:noProof/>
      </w:rPr>
      <w:fldChar w:fldCharType="end"/>
    </w:r>
  </w:p>
  <w:p w:rsidR="003264CA" w:rsidRDefault="00326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63" w:rsidRDefault="004E0E63">
      <w:r>
        <w:separator/>
      </w:r>
    </w:p>
  </w:footnote>
  <w:footnote w:type="continuationSeparator" w:id="0">
    <w:p w:rsidR="004E0E63" w:rsidRDefault="004E0E63">
      <w:r>
        <w:continuationSeparator/>
      </w:r>
    </w:p>
  </w:footnote>
  <w:footnote w:id="1">
    <w:p w:rsidR="003264CA" w:rsidRPr="00024B89" w:rsidRDefault="003264CA" w:rsidP="003264CA">
      <w:pPr>
        <w:rPr>
          <w:rFonts w:ascii="Calibri" w:hAnsi="Calibri" w:cs="Calibri"/>
          <w:color w:val="000000"/>
          <w:sz w:val="18"/>
          <w:szCs w:val="18"/>
        </w:rPr>
      </w:pPr>
      <w:r w:rsidRPr="00024B89">
        <w:rPr>
          <w:rStyle w:val="FootnoteReference"/>
          <w:rFonts w:ascii="Calibri" w:hAnsi="Calibri" w:cs="Calibri"/>
          <w:sz w:val="18"/>
          <w:szCs w:val="18"/>
        </w:rPr>
        <w:footnoteRef/>
      </w:r>
      <w:r w:rsidRPr="00024B89">
        <w:rPr>
          <w:rFonts w:ascii="Calibri" w:hAnsi="Calibri" w:cs="Calibri"/>
          <w:sz w:val="18"/>
          <w:szCs w:val="18"/>
        </w:rPr>
        <w:t xml:space="preserve"> </w:t>
      </w:r>
      <w:r w:rsidRPr="00024B89">
        <w:rPr>
          <w:rFonts w:ascii="Calibri" w:hAnsi="Calibri" w:cs="Calibri"/>
          <w:bCs/>
          <w:color w:val="000000"/>
          <w:sz w:val="18"/>
          <w:szCs w:val="18"/>
        </w:rPr>
        <w:t>§ 576.2   Definitions.</w:t>
      </w:r>
    </w:p>
    <w:p w:rsidR="003264CA" w:rsidRPr="00024B89" w:rsidRDefault="003264CA" w:rsidP="003264CA">
      <w:pPr>
        <w:rPr>
          <w:rFonts w:ascii="Calibri" w:hAnsi="Calibri" w:cs="Calibri"/>
          <w:color w:val="000000"/>
          <w:sz w:val="18"/>
          <w:szCs w:val="18"/>
        </w:rPr>
      </w:pPr>
      <w:r w:rsidRPr="00024B89">
        <w:rPr>
          <w:rFonts w:ascii="Calibri" w:hAnsi="Calibri" w:cs="Calibri"/>
          <w:i/>
          <w:iCs/>
          <w:color w:val="000000"/>
          <w:sz w:val="18"/>
          <w:szCs w:val="18"/>
        </w:rPr>
        <w:t>At risk of homelessness </w:t>
      </w:r>
      <w:r w:rsidRPr="00024B89">
        <w:rPr>
          <w:rFonts w:ascii="Calibri" w:hAnsi="Calibri" w:cs="Calibri"/>
          <w:color w:val="000000"/>
          <w:sz w:val="18"/>
          <w:szCs w:val="18"/>
        </w:rPr>
        <w:t>means: (1) An individual or family who:</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(i) Has an annual income below 30 percent of median family income for the area, as determined by HUD;</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(ii) Does not have sufficient resources or support networks, </w:t>
      </w:r>
      <w:r w:rsidRPr="00024B89">
        <w:rPr>
          <w:rFonts w:ascii="Calibri" w:hAnsi="Calibri" w:cs="Calibri"/>
          <w:i/>
          <w:iCs/>
          <w:color w:val="000000"/>
          <w:sz w:val="18"/>
          <w:szCs w:val="18"/>
        </w:rPr>
        <w:t>e.g., </w:t>
      </w:r>
      <w:r w:rsidRPr="00024B89">
        <w:rPr>
          <w:rFonts w:ascii="Calibri" w:hAnsi="Calibri" w:cs="Calibri"/>
          <w:color w:val="000000"/>
          <w:sz w:val="18"/>
          <w:szCs w:val="18"/>
        </w:rPr>
        <w:t>family, friends, faith-based or other social networks, immediately available to prevent them from moving to an emergency shelter or another place described in paragraph (1) of the “homeless” definition in this section; and</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(iii) Meets one of the following conditions:</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(A) Has moved because of economic reasons two or more times during the 60 days immediately preceding the application for homelessness prevention assistance;</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(B) Is living in the home of another because of economic hardship;</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(C) Has been notified in writing that their right to occupy their current housing or living situation will be terminated within 21 days after the date of application for assistance;</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(D) Lives in a hotel or motel and the cost of the hotel or motel stay is not paid by charitable organizations or by Federal, State, or local government programs for low-income individuals;</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(E) Lives in a single-room occupancy or efficiency apartment unit in which there reside more than two persons or lives in a larger housing unit in which there reside more than 1.5 persons reside per room, as defined by the U.S. Census Bureau;</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(F) Is exiting a publicly funded institution, or system of care (such as a health-care facility, a mental health facility, foster care or other youth facility, or correction program or institution); or</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(G) Otherwise lives in housing that has characteristics associated with instability and an increased risk of homelessness, as identified in the recipient's approved consolidated plan;</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(2) A child or youth who does not qualify as “homeless” under this section, but qualifies as “homeless” under section 387(3) of the Runaway and Homeless Youth Act (42 U.S.C. 5732a(3)), section 637(11) of the Head Start Act (42 U.S.C. 9832(11)), section 41403(6) of the Violence Against Women Act of 1994 (42 U.S.C. 14043e–2(6)), section 330(h)(5)(A) of the Public Health Service Act (42 U.S.C. 254b(h)(5)(A)), section 3(m) of the Food and Nutrition Act of 2008 (7 U.S.C. 2012(m)), or section 17(b)(15) of the Child Nutrition Act of 1966 (42 U.S.C. 1786(b)(15)); or</w:t>
      </w:r>
    </w:p>
    <w:p w:rsidR="003264CA" w:rsidRPr="00024B89" w:rsidRDefault="003264CA" w:rsidP="003264CA">
      <w:pPr>
        <w:rPr>
          <w:rFonts w:ascii="Calibri" w:hAnsi="Calibri" w:cs="Calibri"/>
          <w:color w:val="000000"/>
          <w:sz w:val="18"/>
          <w:szCs w:val="18"/>
        </w:rPr>
      </w:pPr>
      <w:r w:rsidRPr="00024B89">
        <w:rPr>
          <w:rFonts w:ascii="Calibri" w:hAnsi="Calibri" w:cs="Calibri"/>
          <w:color w:val="000000"/>
          <w:sz w:val="18"/>
          <w:szCs w:val="18"/>
        </w:rPr>
        <w:t>(3) A child or youth who does not qualify as “homeless” under this section, but qualifies as “homeless” under section 725(2) of the McKinney-Vento Homeless Assistance Act (42 U.S.C. 11434a(2)), and the parent(s) or guardian(s) of that child or youth if living with her or him.</w:t>
      </w:r>
    </w:p>
    <w:p w:rsidR="003264CA" w:rsidRPr="00024B89" w:rsidRDefault="003264CA" w:rsidP="003264CA">
      <w:pPr>
        <w:pStyle w:val="FootnoteText"/>
        <w:rPr>
          <w:rFonts w:cs="Calibr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31" w:rsidRDefault="001E6831">
    <w:pPr>
      <w:pStyle w:val="Header"/>
      <w:jc w:val="right"/>
    </w:pPr>
  </w:p>
  <w:p w:rsidR="001E6831" w:rsidRDefault="001E6831" w:rsidP="001E6831">
    <w:pPr>
      <w:pStyle w:val="Footer"/>
      <w:framePr w:wrap="auto" w:vAnchor="page" w:hAnchor="page" w:x="1351" w:y="15031"/>
      <w:ind w:right="360"/>
    </w:pPr>
  </w:p>
  <w:p w:rsidR="001E6831" w:rsidRDefault="001E68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31" w:rsidRDefault="001E6831">
    <w:pPr>
      <w:pStyle w:val="Header"/>
      <w:jc w:val="right"/>
    </w:pPr>
  </w:p>
  <w:p w:rsidR="001E6831" w:rsidRDefault="001E6831" w:rsidP="001E6831">
    <w:pPr>
      <w:pStyle w:val="Footer"/>
      <w:framePr w:wrap="auto" w:vAnchor="page" w:hAnchor="page" w:x="1351" w:y="15031"/>
      <w:jc w:val="right"/>
    </w:pPr>
    <w:r>
      <w:fldChar w:fldCharType="begin"/>
    </w:r>
    <w:r>
      <w:instrText xml:space="preserve"> PAGE   \* MERGEFORMAT </w:instrText>
    </w:r>
    <w:r>
      <w:fldChar w:fldCharType="separate"/>
    </w:r>
    <w:r w:rsidR="0071037C">
      <w:rPr>
        <w:noProof/>
      </w:rPr>
      <w:t>3</w:t>
    </w:r>
    <w:r>
      <w:fldChar w:fldCharType="end"/>
    </w:r>
  </w:p>
  <w:p w:rsidR="001E6831" w:rsidRDefault="001E6831" w:rsidP="001E6831">
    <w:pPr>
      <w:pStyle w:val="Footer"/>
      <w:framePr w:wrap="auto" w:vAnchor="page" w:hAnchor="page" w:x="1351" w:y="15031"/>
      <w:ind w:right="360"/>
    </w:pPr>
  </w:p>
  <w:p w:rsidR="001E6831" w:rsidRDefault="001E6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65CAB"/>
    <w:multiLevelType w:val="hybridMultilevel"/>
    <w:tmpl w:val="D1D20D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FE0B9F"/>
    <w:multiLevelType w:val="hybridMultilevel"/>
    <w:tmpl w:val="1C02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80764"/>
    <w:multiLevelType w:val="hybridMultilevel"/>
    <w:tmpl w:val="7B6A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97B1F"/>
    <w:multiLevelType w:val="hybridMultilevel"/>
    <w:tmpl w:val="B9B86304"/>
    <w:lvl w:ilvl="0" w:tplc="0B5871E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185641"/>
    <w:multiLevelType w:val="hybridMultilevel"/>
    <w:tmpl w:val="D2CA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C5D62"/>
    <w:multiLevelType w:val="hybridMultilevel"/>
    <w:tmpl w:val="695A0B0C"/>
    <w:lvl w:ilvl="0" w:tplc="04090001">
      <w:start w:val="1"/>
      <w:numFmt w:val="bullet"/>
      <w:lvlText w:val=""/>
      <w:lvlJc w:val="left"/>
      <w:pPr>
        <w:tabs>
          <w:tab w:val="num" w:pos="1160"/>
        </w:tabs>
        <w:ind w:left="1160" w:hanging="360"/>
      </w:pPr>
      <w:rPr>
        <w:rFonts w:ascii="Symbol" w:hAnsi="Symbol" w:hint="default"/>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6">
    <w:nsid w:val="3B850F7C"/>
    <w:multiLevelType w:val="hybridMultilevel"/>
    <w:tmpl w:val="808CFBB4"/>
    <w:lvl w:ilvl="0" w:tplc="DD5EF7F0">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F0389D"/>
    <w:multiLevelType w:val="hybridMultilevel"/>
    <w:tmpl w:val="4C6C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FA7B92"/>
    <w:multiLevelType w:val="hybridMultilevel"/>
    <w:tmpl w:val="CB10C3B6"/>
    <w:lvl w:ilvl="0" w:tplc="157CADB2">
      <w:start w:val="2"/>
      <w:numFmt w:val="bullet"/>
      <w:lvlText w:val="o"/>
      <w:lvlJc w:val="left"/>
      <w:pPr>
        <w:tabs>
          <w:tab w:val="num" w:pos="1440"/>
        </w:tabs>
        <w:ind w:left="144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D466D7"/>
    <w:multiLevelType w:val="hybridMultilevel"/>
    <w:tmpl w:val="6130E2EE"/>
    <w:lvl w:ilvl="0" w:tplc="3F2276D6">
      <w:start w:val="1"/>
      <w:numFmt w:val="decimal"/>
      <w:lvlText w:val="%1."/>
      <w:lvlJc w:val="left"/>
      <w:pPr>
        <w:tabs>
          <w:tab w:val="num" w:pos="360"/>
        </w:tabs>
        <w:ind w:left="360" w:hanging="360"/>
      </w:pPr>
      <w:rPr>
        <w:rFonts w:hint="default"/>
        <w:b/>
      </w:rPr>
    </w:lvl>
    <w:lvl w:ilvl="1" w:tplc="9960A77C">
      <w:start w:val="3"/>
      <w:numFmt w:val="upperLetter"/>
      <w:lvlText w:val="%2."/>
      <w:lvlJc w:val="left"/>
      <w:pPr>
        <w:tabs>
          <w:tab w:val="num" w:pos="1080"/>
        </w:tabs>
        <w:ind w:left="1080" w:hanging="360"/>
      </w:pPr>
      <w:rPr>
        <w:rFonts w:hint="default"/>
        <w:b w:val="0"/>
        <w:sz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9BA36AB"/>
    <w:multiLevelType w:val="singleLevel"/>
    <w:tmpl w:val="3304AA74"/>
    <w:lvl w:ilvl="0">
      <w:start w:val="1"/>
      <w:numFmt w:val="bullet"/>
      <w:lvlText w:val=""/>
      <w:lvlJc w:val="left"/>
      <w:pPr>
        <w:tabs>
          <w:tab w:val="num" w:pos="360"/>
        </w:tabs>
        <w:ind w:left="360" w:hanging="360"/>
      </w:pPr>
      <w:rPr>
        <w:rFonts w:ascii="Symbol" w:hAnsi="Symbol" w:hint="default"/>
      </w:rPr>
    </w:lvl>
  </w:abstractNum>
  <w:abstractNum w:abstractNumId="11">
    <w:nsid w:val="4AEE402A"/>
    <w:multiLevelType w:val="hybridMultilevel"/>
    <w:tmpl w:val="BF2ED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2764D0"/>
    <w:multiLevelType w:val="hybridMultilevel"/>
    <w:tmpl w:val="96D0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993429"/>
    <w:multiLevelType w:val="hybridMultilevel"/>
    <w:tmpl w:val="6FD6F8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DDB1AD6"/>
    <w:multiLevelType w:val="hybridMultilevel"/>
    <w:tmpl w:val="8C808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821437"/>
    <w:multiLevelType w:val="hybridMultilevel"/>
    <w:tmpl w:val="5D3E848A"/>
    <w:lvl w:ilvl="0" w:tplc="9AEE3B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5295CA4"/>
    <w:multiLevelType w:val="hybridMultilevel"/>
    <w:tmpl w:val="7EB6892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E69231E"/>
    <w:multiLevelType w:val="hybridMultilevel"/>
    <w:tmpl w:val="CBAC0546"/>
    <w:lvl w:ilvl="0" w:tplc="04090001">
      <w:start w:val="1"/>
      <w:numFmt w:val="bullet"/>
      <w:lvlText w:val=""/>
      <w:lvlJc w:val="left"/>
      <w:pPr>
        <w:tabs>
          <w:tab w:val="num" w:pos="1080"/>
        </w:tabs>
        <w:ind w:left="1080" w:hanging="36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18E5FB3"/>
    <w:multiLevelType w:val="hybridMultilevel"/>
    <w:tmpl w:val="E22678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2B5275"/>
    <w:multiLevelType w:val="hybridMultilevel"/>
    <w:tmpl w:val="33128150"/>
    <w:lvl w:ilvl="0" w:tplc="ED4E841E">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D37621"/>
    <w:multiLevelType w:val="hybridMultilevel"/>
    <w:tmpl w:val="53EE29B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B5F6422"/>
    <w:multiLevelType w:val="singleLevel"/>
    <w:tmpl w:val="3304AA74"/>
    <w:lvl w:ilvl="0">
      <w:start w:val="1"/>
      <w:numFmt w:val="bullet"/>
      <w:lvlText w:val=""/>
      <w:lvlJc w:val="left"/>
      <w:pPr>
        <w:tabs>
          <w:tab w:val="num" w:pos="360"/>
        </w:tabs>
        <w:ind w:left="360" w:hanging="360"/>
      </w:pPr>
      <w:rPr>
        <w:rFonts w:ascii="Symbol" w:hAnsi="Symbol" w:hint="default"/>
      </w:rPr>
    </w:lvl>
  </w:abstractNum>
  <w:abstractNum w:abstractNumId="22">
    <w:nsid w:val="79520903"/>
    <w:multiLevelType w:val="hybridMultilevel"/>
    <w:tmpl w:val="B26A2D9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A8E71B8"/>
    <w:multiLevelType w:val="hybridMultilevel"/>
    <w:tmpl w:val="C1F08BC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3"/>
  </w:num>
  <w:num w:numId="4">
    <w:abstractNumId w:val="14"/>
  </w:num>
  <w:num w:numId="5">
    <w:abstractNumId w:val="7"/>
  </w:num>
  <w:num w:numId="6">
    <w:abstractNumId w:val="11"/>
  </w:num>
  <w:num w:numId="7">
    <w:abstractNumId w:val="10"/>
  </w:num>
  <w:num w:numId="8">
    <w:abstractNumId w:val="21"/>
  </w:num>
  <w:num w:numId="9">
    <w:abstractNumId w:val="19"/>
  </w:num>
  <w:num w:numId="10">
    <w:abstractNumId w:val="18"/>
  </w:num>
  <w:num w:numId="11">
    <w:abstractNumId w:val="8"/>
  </w:num>
  <w:num w:numId="12">
    <w:abstractNumId w:val="5"/>
  </w:num>
  <w:num w:numId="13">
    <w:abstractNumId w:val="3"/>
  </w:num>
  <w:num w:numId="14">
    <w:abstractNumId w:val="6"/>
  </w:num>
  <w:num w:numId="15">
    <w:abstractNumId w:val="22"/>
  </w:num>
  <w:num w:numId="16">
    <w:abstractNumId w:val="20"/>
  </w:num>
  <w:num w:numId="17">
    <w:abstractNumId w:val="16"/>
  </w:num>
  <w:num w:numId="18">
    <w:abstractNumId w:val="0"/>
  </w:num>
  <w:num w:numId="19">
    <w:abstractNumId w:val="17"/>
  </w:num>
  <w:num w:numId="20">
    <w:abstractNumId w:val="13"/>
  </w:num>
  <w:num w:numId="21">
    <w:abstractNumId w:val="4"/>
  </w:num>
  <w:num w:numId="22">
    <w:abstractNumId w:val="1"/>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B6"/>
    <w:rsid w:val="00011E7C"/>
    <w:rsid w:val="0006654B"/>
    <w:rsid w:val="001E2BCC"/>
    <w:rsid w:val="001E6831"/>
    <w:rsid w:val="002428D2"/>
    <w:rsid w:val="0027659C"/>
    <w:rsid w:val="003264CA"/>
    <w:rsid w:val="003A71F6"/>
    <w:rsid w:val="003F41D1"/>
    <w:rsid w:val="00440177"/>
    <w:rsid w:val="00493F25"/>
    <w:rsid w:val="004B5CF6"/>
    <w:rsid w:val="004E0E63"/>
    <w:rsid w:val="005512B5"/>
    <w:rsid w:val="0059086F"/>
    <w:rsid w:val="005A510D"/>
    <w:rsid w:val="00632DAE"/>
    <w:rsid w:val="006858E5"/>
    <w:rsid w:val="0071037C"/>
    <w:rsid w:val="007B1081"/>
    <w:rsid w:val="007E6A73"/>
    <w:rsid w:val="00835D93"/>
    <w:rsid w:val="00855B89"/>
    <w:rsid w:val="00867FBE"/>
    <w:rsid w:val="008D66C2"/>
    <w:rsid w:val="008F4A85"/>
    <w:rsid w:val="009C76B6"/>
    <w:rsid w:val="009F287F"/>
    <w:rsid w:val="00A273FC"/>
    <w:rsid w:val="00A3435E"/>
    <w:rsid w:val="00A34EDF"/>
    <w:rsid w:val="00A41829"/>
    <w:rsid w:val="00B044FC"/>
    <w:rsid w:val="00B106FF"/>
    <w:rsid w:val="00C72709"/>
    <w:rsid w:val="00C914A6"/>
    <w:rsid w:val="00C9651F"/>
    <w:rsid w:val="00CE68AD"/>
    <w:rsid w:val="00D30574"/>
    <w:rsid w:val="00E06629"/>
    <w:rsid w:val="00E11A9B"/>
    <w:rsid w:val="00E85F93"/>
    <w:rsid w:val="00ED713D"/>
    <w:rsid w:val="00EF6046"/>
    <w:rsid w:val="00F04174"/>
    <w:rsid w:val="00F352F7"/>
    <w:rsid w:val="00F5029E"/>
    <w:rsid w:val="00F651BD"/>
    <w:rsid w:val="00F84024"/>
    <w:rsid w:val="00FA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C3EF94-3F57-4B1E-8B31-6AFA22D6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B6"/>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C76B6"/>
    <w:pPr>
      <w:spacing w:after="120"/>
      <w:ind w:left="360"/>
    </w:pPr>
  </w:style>
  <w:style w:type="character" w:styleId="Hyperlink">
    <w:name w:val="Hyperlink"/>
    <w:rsid w:val="009C76B6"/>
    <w:rPr>
      <w:color w:val="0000FF"/>
      <w:u w:val="single"/>
    </w:rPr>
  </w:style>
  <w:style w:type="paragraph" w:styleId="BodyText">
    <w:name w:val="Body Text"/>
    <w:basedOn w:val="Normal"/>
    <w:link w:val="BodyTextChar"/>
    <w:uiPriority w:val="99"/>
    <w:semiHidden/>
    <w:unhideWhenUsed/>
    <w:rsid w:val="003264CA"/>
    <w:pPr>
      <w:spacing w:after="120"/>
    </w:pPr>
  </w:style>
  <w:style w:type="character" w:customStyle="1" w:styleId="BodyTextChar">
    <w:name w:val="Body Text Char"/>
    <w:link w:val="BodyText"/>
    <w:uiPriority w:val="99"/>
    <w:semiHidden/>
    <w:rsid w:val="003264CA"/>
    <w:rPr>
      <w:rFonts w:ascii="Arial" w:hAnsi="Arial"/>
      <w:sz w:val="22"/>
    </w:rPr>
  </w:style>
  <w:style w:type="paragraph" w:styleId="Footer">
    <w:name w:val="footer"/>
    <w:basedOn w:val="Normal"/>
    <w:link w:val="FooterChar"/>
    <w:uiPriority w:val="99"/>
    <w:unhideWhenUsed/>
    <w:rsid w:val="003264CA"/>
    <w:pPr>
      <w:tabs>
        <w:tab w:val="center" w:pos="4680"/>
        <w:tab w:val="right" w:pos="9360"/>
      </w:tabs>
    </w:pPr>
  </w:style>
  <w:style w:type="character" w:customStyle="1" w:styleId="FooterChar">
    <w:name w:val="Footer Char"/>
    <w:link w:val="Footer"/>
    <w:uiPriority w:val="99"/>
    <w:rsid w:val="003264CA"/>
    <w:rPr>
      <w:rFonts w:ascii="Arial" w:hAnsi="Arial"/>
      <w:sz w:val="22"/>
    </w:rPr>
  </w:style>
  <w:style w:type="paragraph" w:styleId="FootnoteText">
    <w:name w:val="footnote text"/>
    <w:basedOn w:val="Normal"/>
    <w:link w:val="FootnoteTextChar"/>
    <w:uiPriority w:val="99"/>
    <w:semiHidden/>
    <w:unhideWhenUsed/>
    <w:rsid w:val="003264CA"/>
    <w:rPr>
      <w:sz w:val="20"/>
    </w:rPr>
  </w:style>
  <w:style w:type="character" w:customStyle="1" w:styleId="FootnoteTextChar">
    <w:name w:val="Footnote Text Char"/>
    <w:link w:val="FootnoteText"/>
    <w:uiPriority w:val="99"/>
    <w:semiHidden/>
    <w:rsid w:val="003264CA"/>
    <w:rPr>
      <w:rFonts w:ascii="Arial" w:hAnsi="Arial"/>
    </w:rPr>
  </w:style>
  <w:style w:type="character" w:styleId="PageNumber">
    <w:name w:val="page number"/>
    <w:rsid w:val="003264CA"/>
  </w:style>
  <w:style w:type="character" w:styleId="FootnoteReference">
    <w:name w:val="footnote reference"/>
    <w:uiPriority w:val="99"/>
    <w:semiHidden/>
    <w:unhideWhenUsed/>
    <w:rsid w:val="003264CA"/>
    <w:rPr>
      <w:vertAlign w:val="superscript"/>
    </w:rPr>
  </w:style>
  <w:style w:type="paragraph" w:styleId="Header">
    <w:name w:val="header"/>
    <w:basedOn w:val="Normal"/>
    <w:link w:val="HeaderChar"/>
    <w:uiPriority w:val="99"/>
    <w:unhideWhenUsed/>
    <w:rsid w:val="00F651BD"/>
    <w:pPr>
      <w:tabs>
        <w:tab w:val="center" w:pos="4680"/>
        <w:tab w:val="right" w:pos="9360"/>
      </w:tabs>
    </w:pPr>
  </w:style>
  <w:style w:type="character" w:customStyle="1" w:styleId="HeaderChar">
    <w:name w:val="Header Char"/>
    <w:link w:val="Header"/>
    <w:uiPriority w:val="99"/>
    <w:rsid w:val="00F651BD"/>
    <w:rPr>
      <w:rFonts w:ascii="Arial" w:hAnsi="Arial"/>
      <w:sz w:val="22"/>
    </w:rPr>
  </w:style>
  <w:style w:type="paragraph" w:styleId="BalloonText">
    <w:name w:val="Balloon Text"/>
    <w:basedOn w:val="Normal"/>
    <w:link w:val="BalloonTextChar"/>
    <w:uiPriority w:val="99"/>
    <w:semiHidden/>
    <w:unhideWhenUsed/>
    <w:rsid w:val="001E6831"/>
    <w:rPr>
      <w:rFonts w:ascii="Tahoma" w:hAnsi="Tahoma" w:cs="Tahoma"/>
      <w:sz w:val="16"/>
      <w:szCs w:val="16"/>
    </w:rPr>
  </w:style>
  <w:style w:type="character" w:customStyle="1" w:styleId="BalloonTextChar">
    <w:name w:val="Balloon Text Char"/>
    <w:link w:val="BalloonText"/>
    <w:uiPriority w:val="99"/>
    <w:semiHidden/>
    <w:rsid w:val="001E6831"/>
    <w:rPr>
      <w:rFonts w:ascii="Tahoma" w:hAnsi="Tahoma" w:cs="Tahoma"/>
      <w:sz w:val="16"/>
      <w:szCs w:val="16"/>
    </w:rPr>
  </w:style>
  <w:style w:type="paragraph" w:styleId="ListParagraph">
    <w:name w:val="List Paragraph"/>
    <w:basedOn w:val="Normal"/>
    <w:uiPriority w:val="34"/>
    <w:qFormat/>
    <w:rsid w:val="00F35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8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mccafferty@springfieldcityhal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hitehouse.gov/omb/circula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udexchange.info/resource/1927/hearth-esg-program-and-consolidated-plan-conforming-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3206F-3604-4AFB-97F2-52F5251E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City of Springfield Emergency Solutions Grant Program</vt:lpstr>
    </vt:vector>
  </TitlesOfParts>
  <Company>MIS-Dept</Company>
  <LinksUpToDate>false</LinksUpToDate>
  <CharactersWithSpaces>21388</CharactersWithSpaces>
  <SharedDoc>false</SharedDoc>
  <HLinks>
    <vt:vector size="36" baseType="variant">
      <vt:variant>
        <vt:i4>7602221</vt:i4>
      </vt:variant>
      <vt:variant>
        <vt:i4>15</vt:i4>
      </vt:variant>
      <vt:variant>
        <vt:i4>0</vt:i4>
      </vt:variant>
      <vt:variant>
        <vt:i4>5</vt:i4>
      </vt:variant>
      <vt:variant>
        <vt:lpwstr>http://www.whitehouse.gov/omb/circulars</vt:lpwstr>
      </vt:variant>
      <vt:variant>
        <vt:lpwstr/>
      </vt:variant>
      <vt:variant>
        <vt:i4>3932263</vt:i4>
      </vt:variant>
      <vt:variant>
        <vt:i4>12</vt:i4>
      </vt:variant>
      <vt:variant>
        <vt:i4>0</vt:i4>
      </vt:variant>
      <vt:variant>
        <vt:i4>5</vt:i4>
      </vt:variant>
      <vt:variant>
        <vt:lpwstr>http://www.access.gop.gov/nara/crf/waisdx0424crf57604.html</vt:lpwstr>
      </vt:variant>
      <vt:variant>
        <vt:lpwstr/>
      </vt:variant>
      <vt:variant>
        <vt:i4>7405658</vt:i4>
      </vt:variant>
      <vt:variant>
        <vt:i4>9</vt:i4>
      </vt:variant>
      <vt:variant>
        <vt:i4>0</vt:i4>
      </vt:variant>
      <vt:variant>
        <vt:i4>5</vt:i4>
      </vt:variant>
      <vt:variant>
        <vt:lpwstr>mailto:gmccafferty@springfieldcityhall.com</vt:lpwstr>
      </vt:variant>
      <vt:variant>
        <vt:lpwstr/>
      </vt:variant>
      <vt:variant>
        <vt:i4>2293846</vt:i4>
      </vt:variant>
      <vt:variant>
        <vt:i4>6</vt:i4>
      </vt:variant>
      <vt:variant>
        <vt:i4>0</vt:i4>
      </vt:variant>
      <vt:variant>
        <vt:i4>5</vt:i4>
      </vt:variant>
      <vt:variant>
        <vt:lpwstr>http://100khomes.org/sites/default/files/VI-SPDAT Final PDF Version - December 2013_0.pdf</vt:lpwstr>
      </vt:variant>
      <vt:variant>
        <vt:lpwstr/>
      </vt:variant>
      <vt:variant>
        <vt:i4>3145849</vt:i4>
      </vt:variant>
      <vt:variant>
        <vt:i4>3</vt:i4>
      </vt:variant>
      <vt:variant>
        <vt:i4>0</vt:i4>
      </vt:variant>
      <vt:variant>
        <vt:i4>5</vt:i4>
      </vt:variant>
      <vt:variant>
        <vt:lpwstr>http://www.springfieldcityhall.com/</vt:lpwstr>
      </vt:variant>
      <vt:variant>
        <vt:lpwstr/>
      </vt:variant>
      <vt:variant>
        <vt:i4>7405658</vt:i4>
      </vt:variant>
      <vt:variant>
        <vt:i4>0</vt:i4>
      </vt:variant>
      <vt:variant>
        <vt:i4>0</vt:i4>
      </vt:variant>
      <vt:variant>
        <vt:i4>5</vt:i4>
      </vt:variant>
      <vt:variant>
        <vt:lpwstr>mailto:gmccafferty@springfieldcityhall.com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Springfield Emergency Solutions Grant Program</dc:title>
  <dc:creator>gmccafferty</dc:creator>
  <cp:lastModifiedBy>Gerry McCafferty</cp:lastModifiedBy>
  <cp:revision>2</cp:revision>
  <dcterms:created xsi:type="dcterms:W3CDTF">2015-03-19T16:40:00Z</dcterms:created>
  <dcterms:modified xsi:type="dcterms:W3CDTF">2015-03-19T16:40:00Z</dcterms:modified>
</cp:coreProperties>
</file>