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EB4" w:rsidRPr="003D3294" w:rsidRDefault="00223936" w:rsidP="00223936">
      <w:pPr>
        <w:jc w:val="center"/>
        <w:rPr>
          <w:rFonts w:ascii="Arial Narrow" w:hAnsi="Arial Narrow"/>
          <w:b/>
        </w:rPr>
      </w:pPr>
      <w:r w:rsidRPr="003D3294">
        <w:rPr>
          <w:rFonts w:ascii="Arial Narrow" w:hAnsi="Arial Narrow"/>
          <w:b/>
        </w:rPr>
        <w:t>Secure Jobs Initiative FY16</w:t>
      </w:r>
      <w:r w:rsidR="007510A8">
        <w:rPr>
          <w:rFonts w:ascii="Arial Narrow" w:hAnsi="Arial Narrow"/>
          <w:b/>
        </w:rPr>
        <w:t xml:space="preserve"> Progress Report</w:t>
      </w:r>
      <w:r w:rsidR="00050ACD">
        <w:rPr>
          <w:rFonts w:ascii="Arial Narrow" w:hAnsi="Arial Narrow"/>
          <w:b/>
        </w:rPr>
        <w:t>-</w:t>
      </w:r>
      <w:r w:rsidR="001A2291">
        <w:rPr>
          <w:rFonts w:ascii="Arial Narrow" w:hAnsi="Arial Narrow"/>
          <w:b/>
        </w:rPr>
        <w:t>December</w:t>
      </w:r>
      <w:r w:rsidR="00050ACD">
        <w:rPr>
          <w:rFonts w:ascii="Arial Narrow" w:hAnsi="Arial Narrow"/>
          <w:b/>
        </w:rPr>
        <w:t xml:space="preserve"> 2015</w:t>
      </w:r>
    </w:p>
    <w:p w:rsidR="00223936" w:rsidRPr="003D3294" w:rsidRDefault="00223936" w:rsidP="00223936">
      <w:pPr>
        <w:rPr>
          <w:rFonts w:ascii="Arial Narrow" w:hAnsi="Arial Narrow"/>
        </w:rPr>
      </w:pPr>
    </w:p>
    <w:p w:rsidR="00223936" w:rsidRPr="003D3294" w:rsidRDefault="00223936" w:rsidP="001D2D2E">
      <w:pPr>
        <w:jc w:val="center"/>
        <w:rPr>
          <w:rFonts w:ascii="Arial Narrow" w:hAnsi="Arial Narrow"/>
        </w:rPr>
      </w:pPr>
      <w:r w:rsidRPr="003D3294">
        <w:rPr>
          <w:rFonts w:ascii="Arial Narrow" w:hAnsi="Arial Narrow"/>
          <w:noProof/>
          <w:shd w:val="clear" w:color="auto" w:fill="5F497A" w:themeFill="accent4" w:themeFillShade="BF"/>
        </w:rPr>
        <w:drawing>
          <wp:inline distT="0" distB="0" distL="0" distR="0" wp14:anchorId="1C9298C1" wp14:editId="3EFAEAFF">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95274" w:rsidRPr="003D3294" w:rsidRDefault="00B95274" w:rsidP="00223936">
      <w:pPr>
        <w:rPr>
          <w:rFonts w:ascii="Arial Narrow" w:hAnsi="Arial Narrow"/>
        </w:rPr>
      </w:pPr>
    </w:p>
    <w:p w:rsidR="00B95274" w:rsidRPr="003D3294" w:rsidRDefault="00B95274" w:rsidP="001D2D2E">
      <w:pPr>
        <w:jc w:val="center"/>
        <w:rPr>
          <w:rFonts w:ascii="Arial Narrow" w:hAnsi="Arial Narrow"/>
        </w:rPr>
      </w:pPr>
      <w:r w:rsidRPr="003D3294">
        <w:rPr>
          <w:rFonts w:ascii="Arial Narrow" w:hAnsi="Arial Narrow"/>
          <w:noProof/>
        </w:rPr>
        <w:drawing>
          <wp:inline distT="0" distB="0" distL="0" distR="0" wp14:anchorId="3B160C08" wp14:editId="57D86F1D">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D3294" w:rsidRPr="003D3294" w:rsidRDefault="003D3294" w:rsidP="001D2D2E">
      <w:pPr>
        <w:jc w:val="center"/>
        <w:rPr>
          <w:rFonts w:ascii="Arial Narrow" w:hAnsi="Arial Narrow"/>
        </w:rPr>
      </w:pPr>
    </w:p>
    <w:p w:rsidR="003D3294" w:rsidRDefault="003D3294" w:rsidP="001D2D2E">
      <w:pPr>
        <w:jc w:val="center"/>
        <w:rPr>
          <w:rFonts w:ascii="Arial Narrow" w:hAnsi="Arial Narrow"/>
        </w:rPr>
      </w:pPr>
    </w:p>
    <w:p w:rsidR="003D3294" w:rsidRDefault="003D3294" w:rsidP="001D2D2E">
      <w:pPr>
        <w:jc w:val="center"/>
        <w:rPr>
          <w:rFonts w:ascii="Arial Narrow" w:hAnsi="Arial Narrow"/>
        </w:rPr>
      </w:pPr>
    </w:p>
    <w:p w:rsidR="007510A8" w:rsidRDefault="007510A8" w:rsidP="001D2D2E">
      <w:pPr>
        <w:jc w:val="center"/>
        <w:rPr>
          <w:rFonts w:ascii="Arial Narrow" w:hAnsi="Arial Narrow"/>
        </w:rPr>
      </w:pPr>
      <w:r w:rsidRPr="007510A8">
        <w:rPr>
          <w:rFonts w:ascii="Arial Narrow" w:hAnsi="Arial Narrow"/>
          <w:b/>
        </w:rPr>
        <w:t>Average Wage FY15:</w:t>
      </w:r>
      <w:r>
        <w:rPr>
          <w:rFonts w:ascii="Arial Narrow" w:hAnsi="Arial Narrow"/>
        </w:rPr>
        <w:t xml:space="preserve"> $10.46</w:t>
      </w:r>
    </w:p>
    <w:p w:rsidR="003D3294" w:rsidRDefault="007510A8" w:rsidP="001D2D2E">
      <w:pPr>
        <w:jc w:val="center"/>
        <w:rPr>
          <w:rFonts w:ascii="Arial Narrow" w:hAnsi="Arial Narrow"/>
        </w:rPr>
      </w:pPr>
      <w:r w:rsidRPr="007510A8">
        <w:rPr>
          <w:rFonts w:ascii="Arial Narrow" w:hAnsi="Arial Narrow"/>
          <w:b/>
        </w:rPr>
        <w:t>Current Average Wage FY16:</w:t>
      </w:r>
      <w:r>
        <w:rPr>
          <w:rFonts w:ascii="Arial Narrow" w:hAnsi="Arial Narrow"/>
        </w:rPr>
        <w:t xml:space="preserve"> $11.50</w:t>
      </w:r>
    </w:p>
    <w:p w:rsidR="003D3294" w:rsidRDefault="003D3294" w:rsidP="001D2D2E">
      <w:pPr>
        <w:jc w:val="center"/>
        <w:rPr>
          <w:rFonts w:ascii="Arial Narrow" w:hAnsi="Arial Narrow"/>
        </w:rPr>
      </w:pPr>
    </w:p>
    <w:p w:rsidR="003D3294" w:rsidRDefault="003D3294" w:rsidP="001D2D2E">
      <w:pPr>
        <w:jc w:val="center"/>
        <w:rPr>
          <w:rFonts w:ascii="Arial Narrow" w:hAnsi="Arial Narrow"/>
        </w:rPr>
      </w:pPr>
    </w:p>
    <w:p w:rsidR="003D3294" w:rsidRDefault="003D3294" w:rsidP="001D2D2E">
      <w:pPr>
        <w:jc w:val="center"/>
        <w:rPr>
          <w:rFonts w:ascii="Arial Narrow" w:hAnsi="Arial Narrow"/>
        </w:rPr>
      </w:pPr>
    </w:p>
    <w:p w:rsidR="003D3294" w:rsidRDefault="003D3294" w:rsidP="001D2D2E">
      <w:pPr>
        <w:jc w:val="center"/>
        <w:rPr>
          <w:rFonts w:ascii="Arial Narrow" w:hAnsi="Arial Narrow"/>
        </w:rPr>
      </w:pPr>
    </w:p>
    <w:p w:rsidR="003D3294" w:rsidRDefault="003D3294" w:rsidP="001D2D2E">
      <w:pPr>
        <w:jc w:val="center"/>
        <w:rPr>
          <w:rFonts w:ascii="Arial Narrow" w:hAnsi="Arial Narrow"/>
        </w:rPr>
      </w:pPr>
    </w:p>
    <w:p w:rsidR="003D3294" w:rsidRDefault="003D3294" w:rsidP="001D2D2E">
      <w:pPr>
        <w:jc w:val="center"/>
        <w:rPr>
          <w:rFonts w:ascii="Arial Narrow" w:hAnsi="Arial Narrow"/>
        </w:rPr>
      </w:pPr>
    </w:p>
    <w:p w:rsidR="003D3294" w:rsidRDefault="003D3294" w:rsidP="001D2D2E">
      <w:pPr>
        <w:jc w:val="center"/>
        <w:rPr>
          <w:rFonts w:ascii="Arial Narrow" w:hAnsi="Arial Narrow"/>
        </w:rPr>
      </w:pPr>
    </w:p>
    <w:p w:rsidR="003D3294" w:rsidRDefault="003D3294" w:rsidP="001D2D2E">
      <w:pPr>
        <w:jc w:val="center"/>
        <w:rPr>
          <w:rFonts w:ascii="Arial Narrow" w:hAnsi="Arial Narrow"/>
        </w:rPr>
      </w:pPr>
    </w:p>
    <w:p w:rsidR="003D3294" w:rsidRPr="003D3294" w:rsidRDefault="003D3294" w:rsidP="003D3294">
      <w:pPr>
        <w:jc w:val="center"/>
        <w:rPr>
          <w:rFonts w:ascii="Arial Narrow" w:hAnsi="Arial Narrow"/>
          <w:b/>
        </w:rPr>
      </w:pPr>
      <w:r w:rsidRPr="003D3294">
        <w:rPr>
          <w:rFonts w:ascii="Arial Narrow" w:hAnsi="Arial Narrow"/>
          <w:b/>
        </w:rPr>
        <w:t>Hampde</w:t>
      </w:r>
      <w:r>
        <w:rPr>
          <w:rFonts w:ascii="Arial Narrow" w:hAnsi="Arial Narrow"/>
          <w:b/>
        </w:rPr>
        <w:t>n County Goals versus Outcomes:</w:t>
      </w:r>
    </w:p>
    <w:p w:rsidR="003D3294" w:rsidRPr="003D3294" w:rsidRDefault="003D3294" w:rsidP="003D3294">
      <w:pPr>
        <w:rPr>
          <w:rFonts w:ascii="Arial Narrow" w:hAnsi="Arial Narrow"/>
        </w:rPr>
      </w:pPr>
    </w:p>
    <w:tbl>
      <w:tblPr>
        <w:tblW w:w="10980" w:type="dxa"/>
        <w:tblInd w:w="18" w:type="dxa"/>
        <w:tblLook w:val="04A0" w:firstRow="1" w:lastRow="0" w:firstColumn="1" w:lastColumn="0" w:noHBand="0" w:noVBand="1"/>
      </w:tblPr>
      <w:tblGrid>
        <w:gridCol w:w="3965"/>
        <w:gridCol w:w="1500"/>
        <w:gridCol w:w="1840"/>
        <w:gridCol w:w="1560"/>
        <w:gridCol w:w="2115"/>
      </w:tblGrid>
      <w:tr w:rsidR="003D3294" w:rsidRPr="003D3294" w:rsidTr="003D3294">
        <w:trPr>
          <w:trHeight w:val="315"/>
        </w:trPr>
        <w:tc>
          <w:tcPr>
            <w:tcW w:w="3965"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Proposed Outcomes</w:t>
            </w:r>
          </w:p>
        </w:tc>
        <w:tc>
          <w:tcPr>
            <w:tcW w:w="1500" w:type="dxa"/>
            <w:tcBorders>
              <w:top w:val="single" w:sz="4" w:space="0" w:color="auto"/>
              <w:left w:val="nil"/>
              <w:bottom w:val="single" w:sz="4" w:space="0" w:color="auto"/>
              <w:right w:val="single" w:sz="4" w:space="0" w:color="auto"/>
            </w:tcBorders>
            <w:shd w:val="clear" w:color="auto" w:fill="FFFF00"/>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DHCD</w:t>
            </w:r>
          </w:p>
        </w:tc>
        <w:tc>
          <w:tcPr>
            <w:tcW w:w="1840" w:type="dxa"/>
            <w:tcBorders>
              <w:top w:val="single" w:sz="4" w:space="0" w:color="auto"/>
              <w:left w:val="nil"/>
              <w:bottom w:val="single" w:sz="4" w:space="0" w:color="auto"/>
              <w:right w:val="single" w:sz="4" w:space="0" w:color="auto"/>
            </w:tcBorders>
            <w:shd w:val="clear" w:color="auto" w:fill="FFFF00"/>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Fireman </w:t>
            </w:r>
          </w:p>
        </w:tc>
        <w:tc>
          <w:tcPr>
            <w:tcW w:w="1560" w:type="dxa"/>
            <w:tcBorders>
              <w:top w:val="single" w:sz="4" w:space="0" w:color="auto"/>
              <w:left w:val="nil"/>
              <w:bottom w:val="single" w:sz="4" w:space="0" w:color="auto"/>
              <w:right w:val="single" w:sz="4" w:space="0" w:color="auto"/>
            </w:tcBorders>
            <w:shd w:val="clear" w:color="auto" w:fill="FFFF00"/>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Total </w:t>
            </w:r>
          </w:p>
        </w:tc>
        <w:tc>
          <w:tcPr>
            <w:tcW w:w="2115" w:type="dxa"/>
            <w:tcBorders>
              <w:top w:val="single" w:sz="4" w:space="0" w:color="auto"/>
              <w:left w:val="nil"/>
              <w:bottom w:val="single" w:sz="4" w:space="0" w:color="auto"/>
              <w:right w:val="single" w:sz="4" w:space="0" w:color="auto"/>
            </w:tcBorders>
            <w:shd w:val="clear" w:color="auto" w:fill="FFFF00"/>
          </w:tcPr>
          <w:p w:rsidR="003D3294" w:rsidRPr="003D3294" w:rsidRDefault="003D3294" w:rsidP="003D3294">
            <w:pPr>
              <w:jc w:val="center"/>
              <w:rPr>
                <w:rFonts w:ascii="Arial Narrow" w:hAnsi="Arial Narrow"/>
                <w:b/>
                <w:bCs/>
              </w:rPr>
            </w:pPr>
            <w:r w:rsidRPr="003D3294">
              <w:rPr>
                <w:rFonts w:ascii="Arial Narrow" w:hAnsi="Arial Narrow"/>
                <w:b/>
                <w:bCs/>
              </w:rPr>
              <w:t>Current</w:t>
            </w:r>
          </w:p>
        </w:tc>
      </w:tr>
      <w:tr w:rsidR="003D3294" w:rsidRPr="003D3294" w:rsidTr="003D3294">
        <w:trPr>
          <w:trHeight w:val="315"/>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Assessments</w:t>
            </w:r>
          </w:p>
        </w:tc>
        <w:tc>
          <w:tcPr>
            <w:tcW w:w="150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71 </w:t>
            </w:r>
          </w:p>
        </w:tc>
        <w:tc>
          <w:tcPr>
            <w:tcW w:w="184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65 </w:t>
            </w:r>
          </w:p>
        </w:tc>
        <w:tc>
          <w:tcPr>
            <w:tcW w:w="156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136 </w:t>
            </w:r>
          </w:p>
        </w:tc>
        <w:tc>
          <w:tcPr>
            <w:tcW w:w="2115" w:type="dxa"/>
            <w:tcBorders>
              <w:top w:val="nil"/>
              <w:left w:val="nil"/>
              <w:bottom w:val="single" w:sz="4" w:space="0" w:color="auto"/>
              <w:right w:val="single" w:sz="4" w:space="0" w:color="auto"/>
            </w:tcBorders>
          </w:tcPr>
          <w:p w:rsidR="003D3294" w:rsidRPr="003D3294" w:rsidRDefault="001A2291" w:rsidP="003D3294">
            <w:pPr>
              <w:jc w:val="right"/>
              <w:rPr>
                <w:rFonts w:ascii="Arial Narrow" w:hAnsi="Arial Narrow"/>
                <w:b/>
                <w:bCs/>
              </w:rPr>
            </w:pPr>
            <w:r>
              <w:rPr>
                <w:rFonts w:ascii="Arial Narrow" w:hAnsi="Arial Narrow"/>
                <w:b/>
                <w:bCs/>
              </w:rPr>
              <w:t>15</w:t>
            </w:r>
            <w:r w:rsidR="003D3294" w:rsidRPr="003D3294">
              <w:rPr>
                <w:rFonts w:ascii="Arial Narrow" w:hAnsi="Arial Narrow"/>
                <w:b/>
                <w:bCs/>
              </w:rPr>
              <w:t>8</w:t>
            </w:r>
          </w:p>
        </w:tc>
      </w:tr>
      <w:tr w:rsidR="003D3294" w:rsidRPr="003D3294" w:rsidTr="003D3294">
        <w:trPr>
          <w:trHeight w:val="315"/>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Enrollments</w:t>
            </w:r>
          </w:p>
        </w:tc>
        <w:tc>
          <w:tcPr>
            <w:tcW w:w="150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35 </w:t>
            </w:r>
          </w:p>
        </w:tc>
        <w:tc>
          <w:tcPr>
            <w:tcW w:w="184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32 </w:t>
            </w:r>
          </w:p>
        </w:tc>
        <w:tc>
          <w:tcPr>
            <w:tcW w:w="156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67 </w:t>
            </w:r>
          </w:p>
        </w:tc>
        <w:tc>
          <w:tcPr>
            <w:tcW w:w="2115" w:type="dxa"/>
            <w:tcBorders>
              <w:top w:val="nil"/>
              <w:left w:val="nil"/>
              <w:bottom w:val="single" w:sz="4" w:space="0" w:color="auto"/>
              <w:right w:val="single" w:sz="4" w:space="0" w:color="auto"/>
            </w:tcBorders>
          </w:tcPr>
          <w:p w:rsidR="003D3294" w:rsidRPr="003D3294" w:rsidRDefault="001A2291" w:rsidP="003D3294">
            <w:pPr>
              <w:jc w:val="right"/>
              <w:rPr>
                <w:rFonts w:ascii="Arial Narrow" w:hAnsi="Arial Narrow"/>
                <w:b/>
                <w:bCs/>
              </w:rPr>
            </w:pPr>
            <w:r>
              <w:rPr>
                <w:rFonts w:ascii="Arial Narrow" w:hAnsi="Arial Narrow"/>
                <w:b/>
                <w:bCs/>
              </w:rPr>
              <w:t>80</w:t>
            </w:r>
          </w:p>
        </w:tc>
      </w:tr>
      <w:tr w:rsidR="003D3294" w:rsidRPr="003D3294" w:rsidTr="003D3294">
        <w:trPr>
          <w:trHeight w:val="315"/>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Placements</w:t>
            </w:r>
          </w:p>
        </w:tc>
        <w:tc>
          <w:tcPr>
            <w:tcW w:w="150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28 </w:t>
            </w:r>
          </w:p>
        </w:tc>
        <w:tc>
          <w:tcPr>
            <w:tcW w:w="184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26 </w:t>
            </w:r>
          </w:p>
        </w:tc>
        <w:tc>
          <w:tcPr>
            <w:tcW w:w="156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54 </w:t>
            </w:r>
          </w:p>
        </w:tc>
        <w:tc>
          <w:tcPr>
            <w:tcW w:w="2115" w:type="dxa"/>
            <w:tcBorders>
              <w:top w:val="nil"/>
              <w:left w:val="nil"/>
              <w:bottom w:val="single" w:sz="4" w:space="0" w:color="auto"/>
              <w:right w:val="single" w:sz="4" w:space="0" w:color="auto"/>
            </w:tcBorders>
          </w:tcPr>
          <w:p w:rsidR="003D3294" w:rsidRPr="003D3294" w:rsidRDefault="001A2291" w:rsidP="003D3294">
            <w:pPr>
              <w:jc w:val="right"/>
              <w:rPr>
                <w:rFonts w:ascii="Arial Narrow" w:hAnsi="Arial Narrow"/>
                <w:b/>
                <w:bCs/>
              </w:rPr>
            </w:pPr>
            <w:r>
              <w:rPr>
                <w:rFonts w:ascii="Arial Narrow" w:hAnsi="Arial Narrow"/>
                <w:b/>
                <w:bCs/>
              </w:rPr>
              <w:t>40</w:t>
            </w:r>
          </w:p>
        </w:tc>
      </w:tr>
      <w:tr w:rsidR="003D3294" w:rsidRPr="003D3294" w:rsidTr="003D3294">
        <w:trPr>
          <w:trHeight w:val="315"/>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Retain Employment 1 yr.</w:t>
            </w:r>
          </w:p>
        </w:tc>
        <w:tc>
          <w:tcPr>
            <w:tcW w:w="150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22 </w:t>
            </w:r>
          </w:p>
        </w:tc>
        <w:tc>
          <w:tcPr>
            <w:tcW w:w="184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                       21 </w:t>
            </w:r>
          </w:p>
        </w:tc>
        <w:tc>
          <w:tcPr>
            <w:tcW w:w="156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43 </w:t>
            </w:r>
          </w:p>
        </w:tc>
        <w:tc>
          <w:tcPr>
            <w:tcW w:w="2115" w:type="dxa"/>
            <w:tcBorders>
              <w:top w:val="nil"/>
              <w:left w:val="nil"/>
              <w:bottom w:val="single" w:sz="4" w:space="0" w:color="auto"/>
              <w:right w:val="single" w:sz="4" w:space="0" w:color="auto"/>
            </w:tcBorders>
          </w:tcPr>
          <w:p w:rsidR="003D3294" w:rsidRPr="003D3294" w:rsidRDefault="003D3294" w:rsidP="003D3294">
            <w:pPr>
              <w:jc w:val="right"/>
              <w:rPr>
                <w:rFonts w:ascii="Arial Narrow" w:hAnsi="Arial Narrow"/>
                <w:b/>
                <w:bCs/>
              </w:rPr>
            </w:pPr>
          </w:p>
        </w:tc>
      </w:tr>
      <w:tr w:rsidR="003D3294" w:rsidRPr="003D3294" w:rsidTr="003D3294">
        <w:trPr>
          <w:trHeight w:val="630"/>
        </w:trPr>
        <w:tc>
          <w:tcPr>
            <w:tcW w:w="3965" w:type="dxa"/>
            <w:tcBorders>
              <w:top w:val="nil"/>
              <w:left w:val="single" w:sz="4" w:space="0" w:color="auto"/>
              <w:bottom w:val="single" w:sz="4" w:space="0" w:color="auto"/>
              <w:right w:val="single" w:sz="4" w:space="0" w:color="auto"/>
            </w:tcBorders>
            <w:shd w:val="clear" w:color="auto" w:fill="auto"/>
            <w:vAlign w:val="bottom"/>
            <w:hideMark/>
          </w:tcPr>
          <w:p w:rsidR="003D3294" w:rsidRPr="003D3294" w:rsidRDefault="003D3294" w:rsidP="003D3294">
            <w:pPr>
              <w:jc w:val="center"/>
              <w:rPr>
                <w:rFonts w:ascii="Arial Narrow" w:hAnsi="Arial Narrow"/>
              </w:rPr>
            </w:pPr>
            <w:r w:rsidRPr="003D3294">
              <w:rPr>
                <w:rFonts w:ascii="Arial Narrow" w:hAnsi="Arial Narrow"/>
              </w:rPr>
              <w:t xml:space="preserve">Retain Employment 1 yr. </w:t>
            </w:r>
            <w:r w:rsidRPr="003D3294">
              <w:rPr>
                <w:rFonts w:ascii="Arial Narrow" w:hAnsi="Arial Narrow"/>
              </w:rPr>
              <w:br/>
              <w:t>AND maintain stable housing</w:t>
            </w:r>
          </w:p>
        </w:tc>
        <w:tc>
          <w:tcPr>
            <w:tcW w:w="1500" w:type="dxa"/>
            <w:tcBorders>
              <w:top w:val="nil"/>
              <w:left w:val="nil"/>
              <w:bottom w:val="single" w:sz="4" w:space="0" w:color="auto"/>
              <w:right w:val="single" w:sz="4" w:space="0" w:color="auto"/>
            </w:tcBorders>
            <w:shd w:val="clear" w:color="auto" w:fill="auto"/>
            <w:noWrap/>
            <w:vAlign w:val="center"/>
            <w:hideMark/>
          </w:tcPr>
          <w:p w:rsidR="003D3294" w:rsidRPr="003D3294" w:rsidRDefault="003D3294" w:rsidP="003D3294">
            <w:pPr>
              <w:jc w:val="center"/>
              <w:rPr>
                <w:rFonts w:ascii="Arial Narrow" w:hAnsi="Arial Narrow"/>
              </w:rPr>
            </w:pPr>
            <w:r w:rsidRPr="003D3294">
              <w:rPr>
                <w:rFonts w:ascii="Arial Narrow" w:hAnsi="Arial Narrow"/>
              </w:rPr>
              <w:t xml:space="preserve">                 14 </w:t>
            </w:r>
          </w:p>
        </w:tc>
        <w:tc>
          <w:tcPr>
            <w:tcW w:w="1840" w:type="dxa"/>
            <w:tcBorders>
              <w:top w:val="nil"/>
              <w:left w:val="nil"/>
              <w:bottom w:val="single" w:sz="4" w:space="0" w:color="auto"/>
              <w:right w:val="single" w:sz="4" w:space="0" w:color="auto"/>
            </w:tcBorders>
            <w:shd w:val="clear" w:color="auto" w:fill="auto"/>
            <w:noWrap/>
            <w:vAlign w:val="center"/>
            <w:hideMark/>
          </w:tcPr>
          <w:p w:rsidR="003D3294" w:rsidRPr="003D3294" w:rsidRDefault="003D3294" w:rsidP="003D3294">
            <w:pPr>
              <w:jc w:val="center"/>
              <w:rPr>
                <w:rFonts w:ascii="Arial Narrow" w:hAnsi="Arial Narrow"/>
              </w:rPr>
            </w:pPr>
            <w:r w:rsidRPr="003D3294">
              <w:rPr>
                <w:rFonts w:ascii="Arial Narrow" w:hAnsi="Arial Narrow"/>
              </w:rPr>
              <w:t xml:space="preserve">                       10 </w:t>
            </w:r>
          </w:p>
        </w:tc>
        <w:tc>
          <w:tcPr>
            <w:tcW w:w="1560" w:type="dxa"/>
            <w:tcBorders>
              <w:top w:val="nil"/>
              <w:left w:val="nil"/>
              <w:bottom w:val="single" w:sz="4" w:space="0" w:color="auto"/>
              <w:right w:val="single" w:sz="4" w:space="0" w:color="auto"/>
            </w:tcBorders>
            <w:shd w:val="clear" w:color="auto" w:fill="auto"/>
            <w:noWrap/>
            <w:vAlign w:val="center"/>
            <w:hideMark/>
          </w:tcPr>
          <w:p w:rsidR="003D3294" w:rsidRPr="003D3294" w:rsidRDefault="003D3294" w:rsidP="003D3294">
            <w:pPr>
              <w:jc w:val="center"/>
              <w:rPr>
                <w:rFonts w:ascii="Arial Narrow" w:hAnsi="Arial Narrow"/>
                <w:b/>
                <w:bCs/>
              </w:rPr>
            </w:pPr>
            <w:r w:rsidRPr="003D3294">
              <w:rPr>
                <w:rFonts w:ascii="Arial Narrow" w:hAnsi="Arial Narrow"/>
                <w:b/>
                <w:bCs/>
              </w:rPr>
              <w:t xml:space="preserve">                  24 </w:t>
            </w:r>
          </w:p>
        </w:tc>
        <w:tc>
          <w:tcPr>
            <w:tcW w:w="2115" w:type="dxa"/>
            <w:tcBorders>
              <w:top w:val="nil"/>
              <w:left w:val="nil"/>
              <w:bottom w:val="single" w:sz="4" w:space="0" w:color="auto"/>
              <w:right w:val="single" w:sz="4" w:space="0" w:color="auto"/>
            </w:tcBorders>
          </w:tcPr>
          <w:p w:rsidR="003D3294" w:rsidRPr="003D3294" w:rsidRDefault="003D3294" w:rsidP="003D3294">
            <w:pPr>
              <w:jc w:val="right"/>
              <w:rPr>
                <w:rFonts w:ascii="Arial Narrow" w:hAnsi="Arial Narrow"/>
                <w:b/>
                <w:bCs/>
              </w:rPr>
            </w:pPr>
          </w:p>
        </w:tc>
      </w:tr>
      <w:tr w:rsidR="003D3294" w:rsidRPr="003D3294" w:rsidTr="003D3294">
        <w:trPr>
          <w:trHeight w:val="315"/>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3D3294" w:rsidRPr="003D3294" w:rsidRDefault="003D3294" w:rsidP="003D3294">
            <w:pPr>
              <w:jc w:val="center"/>
              <w:rPr>
                <w:rFonts w:ascii="Arial Narrow" w:hAnsi="Arial Narrow"/>
              </w:rPr>
            </w:pPr>
            <w:r w:rsidRPr="003D3294">
              <w:rPr>
                <w:rFonts w:ascii="Arial Narrow" w:hAnsi="Arial Narrow"/>
              </w:rPr>
              <w:t>Retention Rate</w:t>
            </w:r>
          </w:p>
        </w:tc>
        <w:tc>
          <w:tcPr>
            <w:tcW w:w="150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right"/>
              <w:rPr>
                <w:rFonts w:ascii="Arial Narrow" w:hAnsi="Arial Narrow"/>
                <w:b/>
                <w:bCs/>
              </w:rPr>
            </w:pPr>
            <w:r w:rsidRPr="003D3294">
              <w:rPr>
                <w:rFonts w:ascii="Arial Narrow" w:hAnsi="Arial Narrow"/>
                <w:b/>
                <w:bCs/>
              </w:rPr>
              <w:t>79%</w:t>
            </w:r>
          </w:p>
        </w:tc>
        <w:tc>
          <w:tcPr>
            <w:tcW w:w="184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right"/>
              <w:rPr>
                <w:rFonts w:ascii="Arial Narrow" w:hAnsi="Arial Narrow"/>
                <w:b/>
                <w:bCs/>
              </w:rPr>
            </w:pPr>
            <w:r w:rsidRPr="003D3294">
              <w:rPr>
                <w:rFonts w:ascii="Arial Narrow" w:hAnsi="Arial Narrow"/>
                <w:b/>
                <w:bCs/>
              </w:rPr>
              <w:t>80%</w:t>
            </w:r>
          </w:p>
        </w:tc>
        <w:tc>
          <w:tcPr>
            <w:tcW w:w="1560" w:type="dxa"/>
            <w:tcBorders>
              <w:top w:val="nil"/>
              <w:left w:val="nil"/>
              <w:bottom w:val="single" w:sz="4" w:space="0" w:color="auto"/>
              <w:right w:val="single" w:sz="4" w:space="0" w:color="auto"/>
            </w:tcBorders>
            <w:shd w:val="clear" w:color="auto" w:fill="auto"/>
            <w:noWrap/>
            <w:vAlign w:val="bottom"/>
            <w:hideMark/>
          </w:tcPr>
          <w:p w:rsidR="003D3294" w:rsidRPr="003D3294" w:rsidRDefault="003D3294" w:rsidP="003D3294">
            <w:pPr>
              <w:jc w:val="right"/>
              <w:rPr>
                <w:rFonts w:ascii="Arial Narrow" w:hAnsi="Arial Narrow"/>
                <w:b/>
                <w:bCs/>
              </w:rPr>
            </w:pPr>
            <w:r w:rsidRPr="003D3294">
              <w:rPr>
                <w:rFonts w:ascii="Arial Narrow" w:hAnsi="Arial Narrow"/>
                <w:b/>
                <w:bCs/>
              </w:rPr>
              <w:t>79%</w:t>
            </w:r>
          </w:p>
        </w:tc>
        <w:tc>
          <w:tcPr>
            <w:tcW w:w="2115" w:type="dxa"/>
            <w:tcBorders>
              <w:top w:val="nil"/>
              <w:left w:val="nil"/>
              <w:bottom w:val="single" w:sz="4" w:space="0" w:color="auto"/>
              <w:right w:val="single" w:sz="4" w:space="0" w:color="auto"/>
            </w:tcBorders>
          </w:tcPr>
          <w:p w:rsidR="003D3294" w:rsidRPr="003D3294" w:rsidRDefault="003D3294" w:rsidP="003D3294">
            <w:pPr>
              <w:jc w:val="right"/>
              <w:rPr>
                <w:rFonts w:ascii="Arial Narrow" w:hAnsi="Arial Narrow"/>
                <w:b/>
                <w:bCs/>
              </w:rPr>
            </w:pPr>
          </w:p>
        </w:tc>
      </w:tr>
    </w:tbl>
    <w:p w:rsidR="001D2D2E" w:rsidRDefault="001D2D2E" w:rsidP="001D2D2E">
      <w:pPr>
        <w:jc w:val="center"/>
        <w:rPr>
          <w:rFonts w:ascii="Arial Narrow" w:hAnsi="Arial Narrow"/>
        </w:rPr>
      </w:pPr>
    </w:p>
    <w:p w:rsidR="003D3294" w:rsidRPr="003D3294" w:rsidRDefault="003D3294" w:rsidP="001D2D2E">
      <w:pPr>
        <w:jc w:val="center"/>
        <w:rPr>
          <w:rFonts w:ascii="Arial Narrow" w:hAnsi="Arial Narrow"/>
          <w:b/>
        </w:rPr>
      </w:pPr>
      <w:r w:rsidRPr="003D3294">
        <w:rPr>
          <w:rFonts w:ascii="Arial Narrow" w:hAnsi="Arial Narrow"/>
          <w:b/>
        </w:rPr>
        <w:t>Berkshire County Goals versus Outcomes:</w:t>
      </w:r>
    </w:p>
    <w:p w:rsidR="003D3294" w:rsidRDefault="003D3294" w:rsidP="001D2D2E">
      <w:pPr>
        <w:jc w:val="center"/>
        <w:rPr>
          <w:rFonts w:ascii="Arial Narrow" w:hAnsi="Arial Narrow"/>
        </w:rPr>
      </w:pPr>
    </w:p>
    <w:tbl>
      <w:tblPr>
        <w:tblStyle w:val="TableGrid"/>
        <w:tblW w:w="0" w:type="auto"/>
        <w:tblLook w:val="04A0" w:firstRow="1" w:lastRow="0" w:firstColumn="1" w:lastColumn="0" w:noHBand="0" w:noVBand="1"/>
      </w:tblPr>
      <w:tblGrid>
        <w:gridCol w:w="3885"/>
        <w:gridCol w:w="3427"/>
        <w:gridCol w:w="3704"/>
      </w:tblGrid>
      <w:tr w:rsidR="00541DC6" w:rsidTr="00541DC6">
        <w:tc>
          <w:tcPr>
            <w:tcW w:w="3885" w:type="dxa"/>
            <w:shd w:val="clear" w:color="auto" w:fill="FFFF00"/>
          </w:tcPr>
          <w:p w:rsidR="00541DC6" w:rsidRPr="003D3294" w:rsidRDefault="00541DC6" w:rsidP="001D2D2E">
            <w:pPr>
              <w:jc w:val="center"/>
              <w:rPr>
                <w:rFonts w:ascii="Arial Narrow" w:hAnsi="Arial Narrow"/>
                <w:b/>
              </w:rPr>
            </w:pPr>
            <w:r w:rsidRPr="003D3294">
              <w:rPr>
                <w:rFonts w:ascii="Arial Narrow" w:hAnsi="Arial Narrow"/>
                <w:b/>
              </w:rPr>
              <w:t>Proposed Outcomes</w:t>
            </w:r>
          </w:p>
        </w:tc>
        <w:tc>
          <w:tcPr>
            <w:tcW w:w="3427" w:type="dxa"/>
            <w:shd w:val="clear" w:color="auto" w:fill="FFFF00"/>
          </w:tcPr>
          <w:p w:rsidR="00541DC6" w:rsidRPr="003D3294" w:rsidRDefault="00541DC6" w:rsidP="001D2D2E">
            <w:pPr>
              <w:jc w:val="center"/>
              <w:rPr>
                <w:rFonts w:ascii="Arial Narrow" w:hAnsi="Arial Narrow"/>
                <w:b/>
              </w:rPr>
            </w:pPr>
            <w:r>
              <w:rPr>
                <w:rFonts w:ascii="Arial Narrow" w:hAnsi="Arial Narrow"/>
                <w:b/>
              </w:rPr>
              <w:t>Goal</w:t>
            </w:r>
          </w:p>
        </w:tc>
        <w:tc>
          <w:tcPr>
            <w:tcW w:w="3704" w:type="dxa"/>
            <w:shd w:val="clear" w:color="auto" w:fill="FFFF00"/>
          </w:tcPr>
          <w:p w:rsidR="00541DC6" w:rsidRPr="003D3294" w:rsidRDefault="00541DC6" w:rsidP="001D2D2E">
            <w:pPr>
              <w:jc w:val="center"/>
              <w:rPr>
                <w:rFonts w:ascii="Arial Narrow" w:hAnsi="Arial Narrow"/>
                <w:b/>
              </w:rPr>
            </w:pPr>
            <w:r w:rsidRPr="003D3294">
              <w:rPr>
                <w:rFonts w:ascii="Arial Narrow" w:hAnsi="Arial Narrow"/>
                <w:b/>
              </w:rPr>
              <w:t xml:space="preserve">Current </w:t>
            </w:r>
          </w:p>
        </w:tc>
      </w:tr>
      <w:tr w:rsidR="00541DC6" w:rsidTr="00541DC6">
        <w:tc>
          <w:tcPr>
            <w:tcW w:w="3885" w:type="dxa"/>
          </w:tcPr>
          <w:p w:rsidR="00541DC6" w:rsidRDefault="00541DC6" w:rsidP="001D2D2E">
            <w:pPr>
              <w:jc w:val="center"/>
              <w:rPr>
                <w:rFonts w:ascii="Arial Narrow" w:hAnsi="Arial Narrow"/>
              </w:rPr>
            </w:pPr>
            <w:r>
              <w:rPr>
                <w:rFonts w:ascii="Arial Narrow" w:hAnsi="Arial Narrow"/>
              </w:rPr>
              <w:t>Enrollments</w:t>
            </w:r>
          </w:p>
        </w:tc>
        <w:tc>
          <w:tcPr>
            <w:tcW w:w="3427" w:type="dxa"/>
          </w:tcPr>
          <w:p w:rsidR="00541DC6" w:rsidRDefault="00541DC6" w:rsidP="001D2D2E">
            <w:pPr>
              <w:jc w:val="center"/>
              <w:rPr>
                <w:rFonts w:ascii="Arial Narrow" w:hAnsi="Arial Narrow"/>
              </w:rPr>
            </w:pPr>
            <w:r>
              <w:rPr>
                <w:rFonts w:ascii="Arial Narrow" w:hAnsi="Arial Narrow"/>
              </w:rPr>
              <w:t>25</w:t>
            </w:r>
          </w:p>
        </w:tc>
        <w:tc>
          <w:tcPr>
            <w:tcW w:w="3704" w:type="dxa"/>
          </w:tcPr>
          <w:p w:rsidR="00541DC6" w:rsidRDefault="00541DC6" w:rsidP="001A2291">
            <w:pPr>
              <w:jc w:val="center"/>
              <w:rPr>
                <w:rFonts w:ascii="Arial Narrow" w:hAnsi="Arial Narrow"/>
              </w:rPr>
            </w:pPr>
            <w:r>
              <w:rPr>
                <w:rFonts w:ascii="Arial Narrow" w:hAnsi="Arial Narrow"/>
              </w:rPr>
              <w:t>2</w:t>
            </w:r>
            <w:r w:rsidR="001A2291">
              <w:rPr>
                <w:rFonts w:ascii="Arial Narrow" w:hAnsi="Arial Narrow"/>
              </w:rPr>
              <w:t>6</w:t>
            </w:r>
          </w:p>
        </w:tc>
      </w:tr>
      <w:tr w:rsidR="00541DC6" w:rsidTr="00541DC6">
        <w:tc>
          <w:tcPr>
            <w:tcW w:w="3885" w:type="dxa"/>
          </w:tcPr>
          <w:p w:rsidR="00541DC6" w:rsidRDefault="00541DC6" w:rsidP="001D2D2E">
            <w:pPr>
              <w:jc w:val="center"/>
              <w:rPr>
                <w:rFonts w:ascii="Arial Narrow" w:hAnsi="Arial Narrow"/>
              </w:rPr>
            </w:pPr>
            <w:r>
              <w:rPr>
                <w:rFonts w:ascii="Arial Narrow" w:hAnsi="Arial Narrow"/>
              </w:rPr>
              <w:t>Placements</w:t>
            </w:r>
          </w:p>
        </w:tc>
        <w:tc>
          <w:tcPr>
            <w:tcW w:w="3427" w:type="dxa"/>
          </w:tcPr>
          <w:p w:rsidR="00541DC6" w:rsidRDefault="00541DC6" w:rsidP="001D2D2E">
            <w:pPr>
              <w:jc w:val="center"/>
              <w:rPr>
                <w:rFonts w:ascii="Arial Narrow" w:hAnsi="Arial Narrow"/>
              </w:rPr>
            </w:pPr>
            <w:r>
              <w:rPr>
                <w:rFonts w:ascii="Arial Narrow" w:hAnsi="Arial Narrow"/>
              </w:rPr>
              <w:t>20</w:t>
            </w:r>
          </w:p>
        </w:tc>
        <w:tc>
          <w:tcPr>
            <w:tcW w:w="3704" w:type="dxa"/>
          </w:tcPr>
          <w:p w:rsidR="00541DC6" w:rsidRDefault="00541DC6" w:rsidP="001D2D2E">
            <w:pPr>
              <w:jc w:val="center"/>
              <w:rPr>
                <w:rFonts w:ascii="Arial Narrow" w:hAnsi="Arial Narrow"/>
              </w:rPr>
            </w:pPr>
            <w:r>
              <w:rPr>
                <w:rFonts w:ascii="Arial Narrow" w:hAnsi="Arial Narrow"/>
              </w:rPr>
              <w:t>8</w:t>
            </w:r>
          </w:p>
        </w:tc>
      </w:tr>
    </w:tbl>
    <w:p w:rsidR="003D3294" w:rsidRDefault="003D3294" w:rsidP="001D2D2E">
      <w:pPr>
        <w:jc w:val="center"/>
        <w:rPr>
          <w:rFonts w:ascii="Arial Narrow" w:hAnsi="Arial Narrow"/>
        </w:rPr>
      </w:pPr>
    </w:p>
    <w:p w:rsidR="00E74781" w:rsidRDefault="006C6418" w:rsidP="001D2D2E">
      <w:pPr>
        <w:jc w:val="center"/>
        <w:rPr>
          <w:rFonts w:ascii="Arial Narrow" w:hAnsi="Arial Narrow"/>
          <w:b/>
        </w:rPr>
      </w:pPr>
      <w:r w:rsidRPr="006C6418">
        <w:rPr>
          <w:rFonts w:ascii="Arial Narrow" w:hAnsi="Arial Narrow"/>
          <w:b/>
        </w:rPr>
        <w:t>Success Story:</w:t>
      </w:r>
    </w:p>
    <w:p w:rsidR="001A2291" w:rsidRDefault="001A2291" w:rsidP="001A2291">
      <w:pPr>
        <w:jc w:val="both"/>
      </w:pPr>
    </w:p>
    <w:p w:rsidR="001A2291" w:rsidRPr="00840E46" w:rsidRDefault="001A2291" w:rsidP="00840E46">
      <w:pPr>
        <w:rPr>
          <w:rFonts w:ascii="Arial Narrow" w:hAnsi="Arial Narrow"/>
        </w:rPr>
      </w:pPr>
      <w:r w:rsidRPr="00840E46">
        <w:rPr>
          <w:rFonts w:ascii="Arial Narrow" w:hAnsi="Arial Narrow"/>
        </w:rPr>
        <w:t xml:space="preserve">James and his wife were in a shelter and found themselves going through many situations that seemed to prevent them from moving forward.  He was </w:t>
      </w:r>
      <w:r w:rsidR="00840E46" w:rsidRPr="00840E46">
        <w:rPr>
          <w:rFonts w:ascii="Arial Narrow" w:hAnsi="Arial Narrow"/>
        </w:rPr>
        <w:t>in</w:t>
      </w:r>
      <w:r w:rsidRPr="00840E46">
        <w:rPr>
          <w:rFonts w:ascii="Arial Narrow" w:hAnsi="Arial Narrow"/>
        </w:rPr>
        <w:t xml:space="preserve"> the US NAVY and during his time of service he received an Associate’s Degree in Electronics and took other trainings to increase his level of expertise. Although he had landed a job as an order selector in a warehouse, he felt that he was wasting potential and wanted to explore other jobs that would relate to the field of electronics. </w:t>
      </w:r>
    </w:p>
    <w:p w:rsidR="001A2291" w:rsidRPr="00840E46" w:rsidRDefault="001A2291" w:rsidP="00840E46">
      <w:pPr>
        <w:rPr>
          <w:rFonts w:ascii="Arial Narrow" w:hAnsi="Arial Narrow"/>
        </w:rPr>
      </w:pPr>
    </w:p>
    <w:p w:rsidR="001A2291" w:rsidRPr="00840E46" w:rsidRDefault="001A2291" w:rsidP="00840E46">
      <w:pPr>
        <w:rPr>
          <w:rFonts w:ascii="Arial Narrow" w:hAnsi="Arial Narrow"/>
        </w:rPr>
      </w:pPr>
      <w:r w:rsidRPr="00840E46">
        <w:rPr>
          <w:rFonts w:ascii="Arial Narrow" w:hAnsi="Arial Narrow"/>
        </w:rPr>
        <w:t xml:space="preserve">On October 2015, James was referred to Secure Jobs by his housing counselor, </w:t>
      </w:r>
      <w:r w:rsidR="00840E46" w:rsidRPr="00840E46">
        <w:rPr>
          <w:rFonts w:ascii="Arial Narrow" w:hAnsi="Arial Narrow"/>
        </w:rPr>
        <w:t>as</w:t>
      </w:r>
      <w:r w:rsidRPr="00840E46">
        <w:rPr>
          <w:rFonts w:ascii="Arial Narrow" w:hAnsi="Arial Narrow"/>
        </w:rPr>
        <w:t xml:space="preserve"> he had become unemployed and was having difficulty sustaining his household. Since the beginning, James was very eager and motivated to learn.  He showed great interest in becoming what he had alwa</w:t>
      </w:r>
      <w:r w:rsidR="00840E46" w:rsidRPr="00840E46">
        <w:rPr>
          <w:rFonts w:ascii="Arial Narrow" w:hAnsi="Arial Narrow"/>
        </w:rPr>
        <w:t>ys dreamed about.  He set goals</w:t>
      </w:r>
      <w:r w:rsidRPr="00840E46">
        <w:rPr>
          <w:rFonts w:ascii="Arial Narrow" w:hAnsi="Arial Narrow"/>
        </w:rPr>
        <w:t xml:space="preserve"> and </w:t>
      </w:r>
      <w:r w:rsidR="00840E46" w:rsidRPr="00840E46">
        <w:rPr>
          <w:rFonts w:ascii="Arial Narrow" w:hAnsi="Arial Narrow"/>
        </w:rPr>
        <w:t>was extremely motivated.</w:t>
      </w:r>
      <w:r w:rsidRPr="00840E46">
        <w:rPr>
          <w:rFonts w:ascii="Arial Narrow" w:hAnsi="Arial Narrow"/>
        </w:rPr>
        <w:t xml:space="preserve">  Secure Jobs staff met with James, assessed him, and helped him build a resume that reflected his skills, developed a cover letter, gathered his credentials, prepared him for possible interviews and worked on his networking skills.   In early December we were working with James in a targeted employment search, </w:t>
      </w:r>
      <w:r w:rsidR="00840E46" w:rsidRPr="00840E46">
        <w:rPr>
          <w:rFonts w:ascii="Arial Narrow" w:hAnsi="Arial Narrow"/>
        </w:rPr>
        <w:t>SJI</w:t>
      </w:r>
      <w:r w:rsidRPr="00840E46">
        <w:rPr>
          <w:rFonts w:ascii="Arial Narrow" w:hAnsi="Arial Narrow"/>
        </w:rPr>
        <w:t xml:space="preserve"> match</w:t>
      </w:r>
      <w:r w:rsidR="00840E46" w:rsidRPr="00840E46">
        <w:rPr>
          <w:rFonts w:ascii="Arial Narrow" w:hAnsi="Arial Narrow"/>
        </w:rPr>
        <w:t>ed</w:t>
      </w:r>
      <w:r w:rsidRPr="00840E46">
        <w:rPr>
          <w:rFonts w:ascii="Arial Narrow" w:hAnsi="Arial Narrow"/>
        </w:rPr>
        <w:t xml:space="preserve"> his qualifications to an electronics technician position at Chuck E’ Cheese in Springfield. After passing two interviews, James was hired. </w:t>
      </w:r>
    </w:p>
    <w:p w:rsidR="001A2291" w:rsidRPr="00840E46" w:rsidRDefault="001A2291" w:rsidP="00840E46">
      <w:pPr>
        <w:rPr>
          <w:rFonts w:ascii="Arial Narrow" w:hAnsi="Arial Narrow"/>
        </w:rPr>
      </w:pPr>
    </w:p>
    <w:p w:rsidR="001A2291" w:rsidRPr="00840E46" w:rsidRDefault="001A2291" w:rsidP="00840E46">
      <w:pPr>
        <w:rPr>
          <w:rFonts w:ascii="Arial Narrow" w:hAnsi="Arial Narrow"/>
        </w:rPr>
      </w:pPr>
      <w:r w:rsidRPr="00840E46">
        <w:rPr>
          <w:rFonts w:ascii="Arial Narrow" w:hAnsi="Arial Narrow"/>
        </w:rPr>
        <w:t>Secure Jobs was also able to assist him with his transportation to the job and with the required apparel.  James expresses his gratitude in the following way:</w:t>
      </w:r>
    </w:p>
    <w:p w:rsidR="001A2291" w:rsidRPr="00840E46" w:rsidRDefault="001A2291" w:rsidP="00840E46">
      <w:pPr>
        <w:rPr>
          <w:rFonts w:ascii="Arial Narrow" w:hAnsi="Arial Narrow"/>
        </w:rPr>
      </w:pPr>
    </w:p>
    <w:p w:rsidR="001A2291" w:rsidRPr="00840E46" w:rsidRDefault="001A2291" w:rsidP="00840E46">
      <w:pPr>
        <w:rPr>
          <w:rFonts w:ascii="Arial Narrow" w:hAnsi="Arial Narrow"/>
        </w:rPr>
      </w:pPr>
      <w:r w:rsidRPr="00840E46">
        <w:rPr>
          <w:rFonts w:ascii="Arial Narrow" w:hAnsi="Arial Narrow"/>
        </w:rPr>
        <w:t>“</w:t>
      </w:r>
      <w:r w:rsidRPr="00840E46">
        <w:rPr>
          <w:rFonts w:ascii="Arial Narrow" w:hAnsi="Arial Narrow"/>
          <w:lang w:val="en"/>
        </w:rPr>
        <w:t>I was in a shelter last year and have been on public assistance. What better Christmas gift than having obtained a job with a promising future? Thank you, Johnny (Secure Jobs)!</w:t>
      </w:r>
      <w:r w:rsidR="00840E46">
        <w:rPr>
          <w:rFonts w:ascii="Arial Narrow" w:hAnsi="Arial Narrow"/>
          <w:lang w:val="en"/>
        </w:rPr>
        <w:t xml:space="preserve">”-James. </w:t>
      </w:r>
    </w:p>
    <w:p w:rsidR="006C6418" w:rsidRPr="006C6418" w:rsidRDefault="006C6418" w:rsidP="001D2D2E">
      <w:pPr>
        <w:jc w:val="center"/>
        <w:rPr>
          <w:rFonts w:ascii="Arial Narrow" w:hAnsi="Arial Narrow"/>
          <w:b/>
        </w:rPr>
      </w:pPr>
    </w:p>
    <w:sectPr w:rsidR="006C6418" w:rsidRPr="006C6418" w:rsidSect="001D2D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36"/>
    <w:rsid w:val="00050ACD"/>
    <w:rsid w:val="001A2291"/>
    <w:rsid w:val="001D2D2E"/>
    <w:rsid w:val="00223936"/>
    <w:rsid w:val="002329CC"/>
    <w:rsid w:val="00377833"/>
    <w:rsid w:val="003D3294"/>
    <w:rsid w:val="00541DC6"/>
    <w:rsid w:val="006C6418"/>
    <w:rsid w:val="007510A8"/>
    <w:rsid w:val="00840E46"/>
    <w:rsid w:val="008E4C47"/>
    <w:rsid w:val="00B95274"/>
    <w:rsid w:val="00BC2EB4"/>
    <w:rsid w:val="00E74781"/>
    <w:rsid w:val="00FB6FFC"/>
    <w:rsid w:val="00FC26BA"/>
    <w:rsid w:val="00FC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936"/>
    <w:rPr>
      <w:rFonts w:ascii="Tahoma" w:hAnsi="Tahoma" w:cs="Tahoma"/>
      <w:sz w:val="16"/>
      <w:szCs w:val="16"/>
    </w:rPr>
  </w:style>
  <w:style w:type="character" w:customStyle="1" w:styleId="BalloonTextChar">
    <w:name w:val="Balloon Text Char"/>
    <w:basedOn w:val="DefaultParagraphFont"/>
    <w:link w:val="BalloonText"/>
    <w:uiPriority w:val="99"/>
    <w:semiHidden/>
    <w:rsid w:val="00223936"/>
    <w:rPr>
      <w:rFonts w:ascii="Tahoma" w:hAnsi="Tahoma" w:cs="Tahoma"/>
      <w:sz w:val="16"/>
      <w:szCs w:val="16"/>
    </w:rPr>
  </w:style>
  <w:style w:type="table" w:styleId="TableGrid">
    <w:name w:val="Table Grid"/>
    <w:basedOn w:val="TableNormal"/>
    <w:uiPriority w:val="59"/>
    <w:rsid w:val="003D3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936"/>
    <w:rPr>
      <w:rFonts w:ascii="Tahoma" w:hAnsi="Tahoma" w:cs="Tahoma"/>
      <w:sz w:val="16"/>
      <w:szCs w:val="16"/>
    </w:rPr>
  </w:style>
  <w:style w:type="character" w:customStyle="1" w:styleId="BalloonTextChar">
    <w:name w:val="Balloon Text Char"/>
    <w:basedOn w:val="DefaultParagraphFont"/>
    <w:link w:val="BalloonText"/>
    <w:uiPriority w:val="99"/>
    <w:semiHidden/>
    <w:rsid w:val="00223936"/>
    <w:rPr>
      <w:rFonts w:ascii="Tahoma" w:hAnsi="Tahoma" w:cs="Tahoma"/>
      <w:sz w:val="16"/>
      <w:szCs w:val="16"/>
    </w:rPr>
  </w:style>
  <w:style w:type="table" w:styleId="TableGrid">
    <w:name w:val="Table Grid"/>
    <w:basedOn w:val="TableNormal"/>
    <w:uiPriority w:val="59"/>
    <w:rsid w:val="003D3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FY16 SJI Placements-Hampden County</a:t>
            </a:r>
          </a:p>
        </c:rich>
      </c:tx>
      <c:overlay val="0"/>
    </c:title>
    <c:autoTitleDeleted val="0"/>
    <c:plotArea>
      <c:layout/>
      <c:barChart>
        <c:barDir val="col"/>
        <c:grouping val="clustered"/>
        <c:varyColors val="0"/>
        <c:ser>
          <c:idx val="0"/>
          <c:order val="0"/>
          <c:tx>
            <c:strRef>
              <c:f>Sheet1!$B$1</c:f>
              <c:strCache>
                <c:ptCount val="1"/>
                <c:pt idx="0">
                  <c:v>Monthly Goal</c:v>
                </c:pt>
              </c:strCache>
            </c:strRef>
          </c:tx>
          <c:invertIfNegative val="0"/>
          <c:cat>
            <c:strRef>
              <c:f>Sheet1!$A$2:$A$8</c:f>
              <c:strCache>
                <c:ptCount val="7"/>
                <c:pt idx="0">
                  <c:v>July</c:v>
                </c:pt>
                <c:pt idx="1">
                  <c:v>August</c:v>
                </c:pt>
                <c:pt idx="2">
                  <c:v>September</c:v>
                </c:pt>
                <c:pt idx="3">
                  <c:v>October</c:v>
                </c:pt>
                <c:pt idx="4">
                  <c:v>November</c:v>
                </c:pt>
                <c:pt idx="5">
                  <c:v>December</c:v>
                </c:pt>
                <c:pt idx="6">
                  <c:v>Total Placement Goal</c:v>
                </c:pt>
              </c:strCache>
            </c:strRef>
          </c:cat>
          <c:val>
            <c:numRef>
              <c:f>Sheet1!$B$2:$B$8</c:f>
              <c:numCache>
                <c:formatCode>General</c:formatCode>
                <c:ptCount val="7"/>
                <c:pt idx="0">
                  <c:v>4.5</c:v>
                </c:pt>
                <c:pt idx="1">
                  <c:v>4.5</c:v>
                </c:pt>
                <c:pt idx="2">
                  <c:v>4.5</c:v>
                </c:pt>
                <c:pt idx="3">
                  <c:v>4.5</c:v>
                </c:pt>
                <c:pt idx="4">
                  <c:v>4.5</c:v>
                </c:pt>
                <c:pt idx="5">
                  <c:v>4.5</c:v>
                </c:pt>
                <c:pt idx="6">
                  <c:v>54</c:v>
                </c:pt>
              </c:numCache>
            </c:numRef>
          </c:val>
        </c:ser>
        <c:ser>
          <c:idx val="1"/>
          <c:order val="1"/>
          <c:tx>
            <c:strRef>
              <c:f>Sheet1!$C$1</c:f>
              <c:strCache>
                <c:ptCount val="1"/>
                <c:pt idx="0">
                  <c:v>Placements to Date</c:v>
                </c:pt>
              </c:strCache>
            </c:strRef>
          </c:tx>
          <c:invertIfNegative val="0"/>
          <c:cat>
            <c:strRef>
              <c:f>Sheet1!$A$2:$A$8</c:f>
              <c:strCache>
                <c:ptCount val="7"/>
                <c:pt idx="0">
                  <c:v>July</c:v>
                </c:pt>
                <c:pt idx="1">
                  <c:v>August</c:v>
                </c:pt>
                <c:pt idx="2">
                  <c:v>September</c:v>
                </c:pt>
                <c:pt idx="3">
                  <c:v>October</c:v>
                </c:pt>
                <c:pt idx="4">
                  <c:v>November</c:v>
                </c:pt>
                <c:pt idx="5">
                  <c:v>December</c:v>
                </c:pt>
                <c:pt idx="6">
                  <c:v>Total Placement Goal</c:v>
                </c:pt>
              </c:strCache>
            </c:strRef>
          </c:cat>
          <c:val>
            <c:numRef>
              <c:f>Sheet1!$C$2:$C$8</c:f>
              <c:numCache>
                <c:formatCode>General</c:formatCode>
                <c:ptCount val="7"/>
                <c:pt idx="0">
                  <c:v>3</c:v>
                </c:pt>
                <c:pt idx="1">
                  <c:v>2</c:v>
                </c:pt>
                <c:pt idx="2">
                  <c:v>4</c:v>
                </c:pt>
                <c:pt idx="3">
                  <c:v>14</c:v>
                </c:pt>
                <c:pt idx="4">
                  <c:v>8</c:v>
                </c:pt>
                <c:pt idx="5">
                  <c:v>9</c:v>
                </c:pt>
                <c:pt idx="6">
                  <c:v>40</c:v>
                </c:pt>
              </c:numCache>
            </c:numRef>
          </c:val>
        </c:ser>
        <c:dLbls>
          <c:dLblPos val="ctr"/>
          <c:showLegendKey val="0"/>
          <c:showVal val="1"/>
          <c:showCatName val="0"/>
          <c:showSerName val="0"/>
          <c:showPercent val="0"/>
          <c:showBubbleSize val="0"/>
        </c:dLbls>
        <c:gapWidth val="150"/>
        <c:axId val="59717120"/>
        <c:axId val="59718656"/>
      </c:barChart>
      <c:catAx>
        <c:axId val="59717120"/>
        <c:scaling>
          <c:orientation val="minMax"/>
        </c:scaling>
        <c:delete val="0"/>
        <c:axPos val="b"/>
        <c:majorTickMark val="out"/>
        <c:minorTickMark val="none"/>
        <c:tickLblPos val="nextTo"/>
        <c:crossAx val="59718656"/>
        <c:crosses val="autoZero"/>
        <c:auto val="1"/>
        <c:lblAlgn val="ctr"/>
        <c:lblOffset val="100"/>
        <c:noMultiLvlLbl val="0"/>
      </c:catAx>
      <c:valAx>
        <c:axId val="59718656"/>
        <c:scaling>
          <c:orientation val="minMax"/>
        </c:scaling>
        <c:delete val="0"/>
        <c:axPos val="l"/>
        <c:majorGridlines/>
        <c:numFmt formatCode="General" sourceLinked="1"/>
        <c:majorTickMark val="out"/>
        <c:minorTickMark val="none"/>
        <c:tickLblPos val="nextTo"/>
        <c:crossAx val="597171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FY15 &amp; FY16 SJI Placements-Berkshire</a:t>
            </a:r>
            <a:r>
              <a:rPr lang="en-US" baseline="0"/>
              <a:t> County</a:t>
            </a:r>
            <a:endParaRPr lang="en-US"/>
          </a:p>
        </c:rich>
      </c:tx>
      <c:overlay val="0"/>
    </c:title>
    <c:autoTitleDeleted val="0"/>
    <c:plotArea>
      <c:layout/>
      <c:barChart>
        <c:barDir val="col"/>
        <c:grouping val="clustered"/>
        <c:varyColors val="0"/>
        <c:ser>
          <c:idx val="0"/>
          <c:order val="0"/>
          <c:tx>
            <c:strRef>
              <c:f>Sheet1!$B$1</c:f>
              <c:strCache>
                <c:ptCount val="1"/>
                <c:pt idx="0">
                  <c:v>Placement Goal</c:v>
                </c:pt>
              </c:strCache>
            </c:strRef>
          </c:tx>
          <c:invertIfNegative val="0"/>
          <c:cat>
            <c:strRef>
              <c:f>Sheet1!$A$2</c:f>
              <c:strCache>
                <c:ptCount val="1"/>
                <c:pt idx="0">
                  <c:v>Year Total</c:v>
                </c:pt>
              </c:strCache>
            </c:strRef>
          </c:cat>
          <c:val>
            <c:numRef>
              <c:f>Sheet1!$B$2</c:f>
              <c:numCache>
                <c:formatCode>General</c:formatCode>
                <c:ptCount val="1"/>
                <c:pt idx="0">
                  <c:v>20</c:v>
                </c:pt>
              </c:numCache>
            </c:numRef>
          </c:val>
        </c:ser>
        <c:ser>
          <c:idx val="1"/>
          <c:order val="1"/>
          <c:tx>
            <c:strRef>
              <c:f>Sheet1!$C$1</c:f>
              <c:strCache>
                <c:ptCount val="1"/>
                <c:pt idx="0">
                  <c:v>Placements to Date</c:v>
                </c:pt>
              </c:strCache>
            </c:strRef>
          </c:tx>
          <c:invertIfNegative val="0"/>
          <c:cat>
            <c:strRef>
              <c:f>Sheet1!$A$2</c:f>
              <c:strCache>
                <c:ptCount val="1"/>
                <c:pt idx="0">
                  <c:v>Year Total</c:v>
                </c:pt>
              </c:strCache>
            </c:strRef>
          </c:cat>
          <c:val>
            <c:numRef>
              <c:f>Sheet1!$C$2</c:f>
              <c:numCache>
                <c:formatCode>General</c:formatCode>
                <c:ptCount val="1"/>
                <c:pt idx="0">
                  <c:v>8</c:v>
                </c:pt>
              </c:numCache>
            </c:numRef>
          </c:val>
        </c:ser>
        <c:dLbls>
          <c:showLegendKey val="0"/>
          <c:showVal val="0"/>
          <c:showCatName val="0"/>
          <c:showSerName val="0"/>
          <c:showPercent val="0"/>
          <c:showBubbleSize val="0"/>
        </c:dLbls>
        <c:gapWidth val="150"/>
        <c:axId val="60776448"/>
        <c:axId val="60777984"/>
      </c:barChart>
      <c:catAx>
        <c:axId val="60776448"/>
        <c:scaling>
          <c:orientation val="minMax"/>
        </c:scaling>
        <c:delete val="0"/>
        <c:axPos val="b"/>
        <c:majorTickMark val="none"/>
        <c:minorTickMark val="none"/>
        <c:tickLblPos val="nextTo"/>
        <c:crossAx val="60777984"/>
        <c:crosses val="autoZero"/>
        <c:auto val="1"/>
        <c:lblAlgn val="ctr"/>
        <c:lblOffset val="100"/>
        <c:noMultiLvlLbl val="0"/>
      </c:catAx>
      <c:valAx>
        <c:axId val="60777984"/>
        <c:scaling>
          <c:orientation val="minMax"/>
        </c:scaling>
        <c:delete val="0"/>
        <c:axPos val="l"/>
        <c:majorGridlines/>
        <c:numFmt formatCode="General" sourceLinked="1"/>
        <c:majorTickMark val="none"/>
        <c:minorTickMark val="none"/>
        <c:tickLblPos val="nextTo"/>
        <c:crossAx val="607764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Brehm</dc:creator>
  <cp:lastModifiedBy>Ashley Brehm</cp:lastModifiedBy>
  <cp:revision>3</cp:revision>
  <cp:lastPrinted>2015-12-02T13:49:00Z</cp:lastPrinted>
  <dcterms:created xsi:type="dcterms:W3CDTF">2016-01-04T13:53:00Z</dcterms:created>
  <dcterms:modified xsi:type="dcterms:W3CDTF">2016-01-04T14:06:00Z</dcterms:modified>
</cp:coreProperties>
</file>