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FB0" w:rsidRDefault="00057FB0" w:rsidP="00057FB0">
      <w:pPr>
        <w:jc w:val="center"/>
        <w:rPr>
          <w:rFonts w:ascii="Arial Narrow" w:hAnsi="Arial Narrow"/>
          <w:b/>
        </w:rPr>
      </w:pPr>
      <w:r>
        <w:rPr>
          <w:rFonts w:ascii="Arial Narrow" w:hAnsi="Arial Narrow"/>
          <w:b/>
          <w:noProof/>
        </w:rPr>
        <w:drawing>
          <wp:inline distT="0" distB="0" distL="0" distR="0">
            <wp:extent cx="3133725" cy="8814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I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35941" cy="882096"/>
                    </a:xfrm>
                    <a:prstGeom prst="rect">
                      <a:avLst/>
                    </a:prstGeom>
                  </pic:spPr>
                </pic:pic>
              </a:graphicData>
            </a:graphic>
          </wp:inline>
        </w:drawing>
      </w:r>
    </w:p>
    <w:p w:rsidR="00057FB0" w:rsidRDefault="00057FB0" w:rsidP="00057FB0">
      <w:pPr>
        <w:jc w:val="center"/>
        <w:rPr>
          <w:rFonts w:ascii="Arial Narrow" w:hAnsi="Arial Narrow"/>
          <w:b/>
        </w:rPr>
      </w:pPr>
      <w:r w:rsidRPr="003D3294">
        <w:rPr>
          <w:rFonts w:ascii="Arial Narrow" w:hAnsi="Arial Narrow"/>
          <w:b/>
        </w:rPr>
        <w:t>Secure Jobs Initiative FY16</w:t>
      </w:r>
      <w:r>
        <w:rPr>
          <w:rFonts w:ascii="Arial Narrow" w:hAnsi="Arial Narrow"/>
          <w:b/>
        </w:rPr>
        <w:t xml:space="preserve"> Progress Report-February2016</w:t>
      </w:r>
    </w:p>
    <w:p w:rsidR="00057FB0" w:rsidRPr="003D3294" w:rsidRDefault="00057FB0" w:rsidP="00223936">
      <w:pPr>
        <w:jc w:val="center"/>
        <w:rPr>
          <w:rFonts w:ascii="Arial Narrow" w:hAnsi="Arial Narrow"/>
          <w:b/>
        </w:rPr>
      </w:pPr>
    </w:p>
    <w:p w:rsidR="00223936" w:rsidRPr="003D3294" w:rsidRDefault="00223936" w:rsidP="00223936">
      <w:pPr>
        <w:rPr>
          <w:rFonts w:ascii="Arial Narrow" w:hAnsi="Arial Narrow"/>
        </w:rPr>
      </w:pPr>
    </w:p>
    <w:p w:rsidR="00223936" w:rsidRDefault="00223936" w:rsidP="001D2D2E">
      <w:pPr>
        <w:jc w:val="center"/>
        <w:rPr>
          <w:rFonts w:ascii="Arial Narrow" w:hAnsi="Arial Narrow"/>
        </w:rPr>
      </w:pPr>
      <w:r w:rsidRPr="003D3294">
        <w:rPr>
          <w:rFonts w:ascii="Arial Narrow" w:hAnsi="Arial Narrow"/>
          <w:noProof/>
          <w:shd w:val="clear" w:color="auto" w:fill="5F497A" w:themeFill="accent4" w:themeFillShade="BF"/>
        </w:rPr>
        <w:drawing>
          <wp:inline distT="0" distB="0" distL="0" distR="0" wp14:anchorId="1C9298C1" wp14:editId="3EFAEAFF">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F31F7" w:rsidRDefault="003F31F7" w:rsidP="001D2D2E">
      <w:pPr>
        <w:jc w:val="center"/>
        <w:rPr>
          <w:rFonts w:ascii="Arial Narrow" w:hAnsi="Arial Narrow"/>
        </w:rPr>
      </w:pPr>
    </w:p>
    <w:p w:rsidR="00D8086E" w:rsidRDefault="00D8086E" w:rsidP="001D2D2E">
      <w:pPr>
        <w:jc w:val="center"/>
        <w:rPr>
          <w:rFonts w:ascii="Arial Narrow" w:hAnsi="Arial Narrow"/>
        </w:rPr>
      </w:pPr>
    </w:p>
    <w:tbl>
      <w:tblPr>
        <w:tblStyle w:val="TableGrid"/>
        <w:tblW w:w="0" w:type="auto"/>
        <w:jc w:val="center"/>
        <w:tblInd w:w="-810" w:type="dxa"/>
        <w:tblLook w:val="04A0" w:firstRow="1" w:lastRow="0" w:firstColumn="1" w:lastColumn="0" w:noHBand="0" w:noVBand="1"/>
      </w:tblPr>
      <w:tblGrid>
        <w:gridCol w:w="4482"/>
        <w:gridCol w:w="4077"/>
      </w:tblGrid>
      <w:tr w:rsidR="00AD6100" w:rsidTr="0042493C">
        <w:trPr>
          <w:jc w:val="center"/>
        </w:trPr>
        <w:tc>
          <w:tcPr>
            <w:tcW w:w="8559" w:type="dxa"/>
            <w:gridSpan w:val="2"/>
            <w:shd w:val="clear" w:color="auto" w:fill="FFFF00"/>
          </w:tcPr>
          <w:p w:rsidR="00AD6100" w:rsidRPr="003F31F7" w:rsidRDefault="00AD6100" w:rsidP="001D2D2E">
            <w:pPr>
              <w:jc w:val="center"/>
              <w:rPr>
                <w:rFonts w:ascii="Arial Narrow" w:hAnsi="Arial Narrow"/>
                <w:b/>
              </w:rPr>
            </w:pPr>
            <w:r>
              <w:rPr>
                <w:rFonts w:ascii="Arial Narrow" w:hAnsi="Arial Narrow"/>
                <w:b/>
              </w:rPr>
              <w:t>Total Numbers-Hampden County</w:t>
            </w:r>
          </w:p>
        </w:tc>
      </w:tr>
      <w:tr w:rsidR="003F31F7" w:rsidTr="00D8086E">
        <w:trPr>
          <w:jc w:val="center"/>
        </w:trPr>
        <w:tc>
          <w:tcPr>
            <w:tcW w:w="4482" w:type="dxa"/>
            <w:shd w:val="clear" w:color="auto" w:fill="FFFF00"/>
          </w:tcPr>
          <w:p w:rsidR="003F31F7" w:rsidRPr="003F31F7" w:rsidRDefault="003F31F7" w:rsidP="001D2D2E">
            <w:pPr>
              <w:jc w:val="center"/>
              <w:rPr>
                <w:rFonts w:ascii="Arial Narrow" w:hAnsi="Arial Narrow"/>
                <w:b/>
              </w:rPr>
            </w:pPr>
            <w:r w:rsidRPr="003F31F7">
              <w:rPr>
                <w:rFonts w:ascii="Arial Narrow" w:hAnsi="Arial Narrow"/>
                <w:b/>
              </w:rPr>
              <w:t>Total Program Enrollments</w:t>
            </w:r>
            <w:r>
              <w:rPr>
                <w:rFonts w:ascii="Arial Narrow" w:hAnsi="Arial Narrow"/>
                <w:b/>
              </w:rPr>
              <w:t xml:space="preserve"> (All Years)</w:t>
            </w:r>
          </w:p>
        </w:tc>
        <w:tc>
          <w:tcPr>
            <w:tcW w:w="4077" w:type="dxa"/>
            <w:shd w:val="clear" w:color="auto" w:fill="FFFF00"/>
          </w:tcPr>
          <w:p w:rsidR="003F31F7" w:rsidRPr="003F31F7" w:rsidRDefault="003F31F7" w:rsidP="001D2D2E">
            <w:pPr>
              <w:jc w:val="center"/>
              <w:rPr>
                <w:rFonts w:ascii="Arial Narrow" w:hAnsi="Arial Narrow"/>
                <w:b/>
              </w:rPr>
            </w:pPr>
            <w:r w:rsidRPr="003F31F7">
              <w:rPr>
                <w:rFonts w:ascii="Arial Narrow" w:hAnsi="Arial Narrow"/>
                <w:b/>
              </w:rPr>
              <w:t>Total Program Placements</w:t>
            </w:r>
            <w:r>
              <w:rPr>
                <w:rFonts w:ascii="Arial Narrow" w:hAnsi="Arial Narrow"/>
                <w:b/>
              </w:rPr>
              <w:t xml:space="preserve"> (All Years)</w:t>
            </w:r>
          </w:p>
        </w:tc>
      </w:tr>
      <w:tr w:rsidR="003F31F7" w:rsidTr="00D8086E">
        <w:trPr>
          <w:jc w:val="center"/>
        </w:trPr>
        <w:tc>
          <w:tcPr>
            <w:tcW w:w="4482" w:type="dxa"/>
          </w:tcPr>
          <w:p w:rsidR="003F31F7" w:rsidRDefault="008220A7" w:rsidP="001D2D2E">
            <w:pPr>
              <w:jc w:val="center"/>
              <w:rPr>
                <w:rFonts w:ascii="Arial Narrow" w:hAnsi="Arial Narrow"/>
              </w:rPr>
            </w:pPr>
            <w:r>
              <w:rPr>
                <w:rFonts w:ascii="Arial Narrow" w:hAnsi="Arial Narrow"/>
              </w:rPr>
              <w:t>415</w:t>
            </w:r>
          </w:p>
        </w:tc>
        <w:tc>
          <w:tcPr>
            <w:tcW w:w="4077" w:type="dxa"/>
          </w:tcPr>
          <w:p w:rsidR="003F31F7" w:rsidRDefault="006A3B33" w:rsidP="001D2D2E">
            <w:pPr>
              <w:jc w:val="center"/>
              <w:rPr>
                <w:rFonts w:ascii="Arial Narrow" w:hAnsi="Arial Narrow"/>
              </w:rPr>
            </w:pPr>
            <w:r>
              <w:rPr>
                <w:rFonts w:ascii="Arial Narrow" w:hAnsi="Arial Narrow"/>
              </w:rPr>
              <w:t>246</w:t>
            </w:r>
          </w:p>
        </w:tc>
      </w:tr>
    </w:tbl>
    <w:p w:rsidR="003F31F7" w:rsidRPr="003D3294" w:rsidRDefault="003F31F7" w:rsidP="001D2D2E">
      <w:pPr>
        <w:jc w:val="center"/>
        <w:rPr>
          <w:rFonts w:ascii="Arial Narrow" w:hAnsi="Arial Narrow"/>
        </w:rPr>
      </w:pPr>
    </w:p>
    <w:p w:rsidR="00B95274" w:rsidRPr="003D3294" w:rsidRDefault="00B95274" w:rsidP="00223936">
      <w:pPr>
        <w:rPr>
          <w:rFonts w:ascii="Arial Narrow" w:hAnsi="Arial Narrow"/>
        </w:rPr>
      </w:pPr>
    </w:p>
    <w:p w:rsidR="00B95274" w:rsidRPr="003D3294" w:rsidRDefault="00B95274" w:rsidP="001D2D2E">
      <w:pPr>
        <w:jc w:val="center"/>
        <w:rPr>
          <w:rFonts w:ascii="Arial Narrow" w:hAnsi="Arial Narrow"/>
        </w:rPr>
      </w:pPr>
      <w:r w:rsidRPr="003D3294">
        <w:rPr>
          <w:rFonts w:ascii="Arial Narrow" w:hAnsi="Arial Narrow"/>
          <w:noProof/>
        </w:rPr>
        <w:drawing>
          <wp:inline distT="0" distB="0" distL="0" distR="0" wp14:anchorId="3B160C08" wp14:editId="57D86F1D">
            <wp:extent cx="5400675" cy="30003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D3294" w:rsidRDefault="003D3294" w:rsidP="00057FB0">
      <w:pPr>
        <w:rPr>
          <w:rFonts w:ascii="Arial Narrow" w:hAnsi="Arial Narrow"/>
        </w:rPr>
      </w:pPr>
    </w:p>
    <w:p w:rsidR="003D3294" w:rsidRDefault="003D3294" w:rsidP="001D2D2E">
      <w:pPr>
        <w:jc w:val="center"/>
        <w:rPr>
          <w:rFonts w:ascii="Arial Narrow" w:hAnsi="Arial Narrow"/>
        </w:rPr>
      </w:pPr>
    </w:p>
    <w:p w:rsidR="007510A8" w:rsidRDefault="007510A8" w:rsidP="001D2D2E">
      <w:pPr>
        <w:jc w:val="center"/>
        <w:rPr>
          <w:rFonts w:ascii="Arial Narrow" w:hAnsi="Arial Narrow"/>
        </w:rPr>
      </w:pPr>
      <w:r w:rsidRPr="007510A8">
        <w:rPr>
          <w:rFonts w:ascii="Arial Narrow" w:hAnsi="Arial Narrow"/>
          <w:b/>
        </w:rPr>
        <w:t>Average Wage FY15:</w:t>
      </w:r>
      <w:r>
        <w:rPr>
          <w:rFonts w:ascii="Arial Narrow" w:hAnsi="Arial Narrow"/>
        </w:rPr>
        <w:t xml:space="preserve"> $10.46</w:t>
      </w:r>
    </w:p>
    <w:p w:rsidR="003D3294" w:rsidRDefault="007510A8" w:rsidP="001D2D2E">
      <w:pPr>
        <w:jc w:val="center"/>
        <w:rPr>
          <w:rFonts w:ascii="Arial Narrow" w:hAnsi="Arial Narrow"/>
        </w:rPr>
      </w:pPr>
      <w:r w:rsidRPr="007510A8">
        <w:rPr>
          <w:rFonts w:ascii="Arial Narrow" w:hAnsi="Arial Narrow"/>
          <w:b/>
        </w:rPr>
        <w:t>Current Average Wage FY16:</w:t>
      </w:r>
      <w:r w:rsidR="006A3B33">
        <w:rPr>
          <w:rFonts w:ascii="Arial Narrow" w:hAnsi="Arial Narrow"/>
        </w:rPr>
        <w:t xml:space="preserve"> $11.50</w:t>
      </w:r>
    </w:p>
    <w:p w:rsidR="00D8086E" w:rsidRDefault="00D8086E" w:rsidP="00057FB0">
      <w:pPr>
        <w:rPr>
          <w:rFonts w:ascii="Arial Narrow" w:hAnsi="Arial Narrow"/>
        </w:rPr>
      </w:pPr>
    </w:p>
    <w:p w:rsidR="003D3294" w:rsidRDefault="003D3294" w:rsidP="001D2D2E">
      <w:pPr>
        <w:jc w:val="center"/>
        <w:rPr>
          <w:rFonts w:ascii="Arial Narrow" w:hAnsi="Arial Narrow"/>
        </w:rPr>
      </w:pPr>
    </w:p>
    <w:p w:rsidR="003D3294" w:rsidRPr="003D3294" w:rsidRDefault="003D3294" w:rsidP="003D3294">
      <w:pPr>
        <w:jc w:val="center"/>
        <w:rPr>
          <w:rFonts w:ascii="Arial Narrow" w:hAnsi="Arial Narrow"/>
          <w:b/>
        </w:rPr>
      </w:pPr>
      <w:r w:rsidRPr="003D3294">
        <w:rPr>
          <w:rFonts w:ascii="Arial Narrow" w:hAnsi="Arial Narrow"/>
          <w:b/>
        </w:rPr>
        <w:t>Hampde</w:t>
      </w:r>
      <w:r>
        <w:rPr>
          <w:rFonts w:ascii="Arial Narrow" w:hAnsi="Arial Narrow"/>
          <w:b/>
        </w:rPr>
        <w:t>n County Goals versus Outcomes:</w:t>
      </w:r>
    </w:p>
    <w:p w:rsidR="003D3294" w:rsidRPr="003D3294" w:rsidRDefault="003D3294" w:rsidP="003D3294">
      <w:pPr>
        <w:rPr>
          <w:rFonts w:ascii="Arial Narrow" w:hAnsi="Arial Narrow"/>
        </w:rPr>
      </w:pPr>
    </w:p>
    <w:tbl>
      <w:tblPr>
        <w:tblW w:w="10980" w:type="dxa"/>
        <w:tblInd w:w="18" w:type="dxa"/>
        <w:tblLook w:val="04A0" w:firstRow="1" w:lastRow="0" w:firstColumn="1" w:lastColumn="0" w:noHBand="0" w:noVBand="1"/>
      </w:tblPr>
      <w:tblGrid>
        <w:gridCol w:w="3965"/>
        <w:gridCol w:w="1500"/>
        <w:gridCol w:w="1840"/>
        <w:gridCol w:w="1560"/>
        <w:gridCol w:w="2115"/>
      </w:tblGrid>
      <w:tr w:rsidR="003D3294" w:rsidRPr="003D3294" w:rsidTr="003D3294">
        <w:trPr>
          <w:trHeight w:val="315"/>
        </w:trPr>
        <w:tc>
          <w:tcPr>
            <w:tcW w:w="3965"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D3294" w:rsidRPr="003D3294" w:rsidRDefault="003D3294" w:rsidP="003D3294">
            <w:pPr>
              <w:jc w:val="center"/>
              <w:rPr>
                <w:rFonts w:ascii="Arial Narrow" w:hAnsi="Arial Narrow"/>
                <w:b/>
                <w:bCs/>
              </w:rPr>
            </w:pPr>
            <w:r w:rsidRPr="003D3294">
              <w:rPr>
                <w:rFonts w:ascii="Arial Narrow" w:hAnsi="Arial Narrow"/>
                <w:b/>
                <w:bCs/>
              </w:rPr>
              <w:t>Proposed Outcomes</w:t>
            </w:r>
          </w:p>
        </w:tc>
        <w:tc>
          <w:tcPr>
            <w:tcW w:w="1500" w:type="dxa"/>
            <w:tcBorders>
              <w:top w:val="single" w:sz="4" w:space="0" w:color="auto"/>
              <w:left w:val="nil"/>
              <w:bottom w:val="single" w:sz="4" w:space="0" w:color="auto"/>
              <w:right w:val="single" w:sz="4" w:space="0" w:color="auto"/>
            </w:tcBorders>
            <w:shd w:val="clear" w:color="auto" w:fill="FFFF00"/>
            <w:vAlign w:val="bottom"/>
            <w:hideMark/>
          </w:tcPr>
          <w:p w:rsidR="003D3294" w:rsidRPr="003D3294" w:rsidRDefault="003D3294" w:rsidP="003D3294">
            <w:pPr>
              <w:jc w:val="center"/>
              <w:rPr>
                <w:rFonts w:ascii="Arial Narrow" w:hAnsi="Arial Narrow"/>
                <w:b/>
                <w:bCs/>
              </w:rPr>
            </w:pPr>
            <w:r w:rsidRPr="003D3294">
              <w:rPr>
                <w:rFonts w:ascii="Arial Narrow" w:hAnsi="Arial Narrow"/>
                <w:b/>
                <w:bCs/>
              </w:rPr>
              <w:t>DHCD</w:t>
            </w:r>
          </w:p>
        </w:tc>
        <w:tc>
          <w:tcPr>
            <w:tcW w:w="1840" w:type="dxa"/>
            <w:tcBorders>
              <w:top w:val="single" w:sz="4" w:space="0" w:color="auto"/>
              <w:left w:val="nil"/>
              <w:bottom w:val="single" w:sz="4" w:space="0" w:color="auto"/>
              <w:right w:val="single" w:sz="4" w:space="0" w:color="auto"/>
            </w:tcBorders>
            <w:shd w:val="clear" w:color="auto" w:fill="FFFF00"/>
            <w:noWrap/>
            <w:vAlign w:val="bottom"/>
            <w:hideMark/>
          </w:tcPr>
          <w:p w:rsidR="003D3294" w:rsidRPr="003D3294" w:rsidRDefault="003D3294" w:rsidP="003D3294">
            <w:pPr>
              <w:jc w:val="center"/>
              <w:rPr>
                <w:rFonts w:ascii="Arial Narrow" w:hAnsi="Arial Narrow"/>
                <w:b/>
                <w:bCs/>
              </w:rPr>
            </w:pPr>
            <w:r w:rsidRPr="003D3294">
              <w:rPr>
                <w:rFonts w:ascii="Arial Narrow" w:hAnsi="Arial Narrow"/>
                <w:b/>
                <w:bCs/>
              </w:rPr>
              <w:t xml:space="preserve"> Fireman </w:t>
            </w:r>
          </w:p>
        </w:tc>
        <w:tc>
          <w:tcPr>
            <w:tcW w:w="1560" w:type="dxa"/>
            <w:tcBorders>
              <w:top w:val="single" w:sz="4" w:space="0" w:color="auto"/>
              <w:left w:val="nil"/>
              <w:bottom w:val="single" w:sz="4" w:space="0" w:color="auto"/>
              <w:right w:val="single" w:sz="4" w:space="0" w:color="auto"/>
            </w:tcBorders>
            <w:shd w:val="clear" w:color="auto" w:fill="FFFF00"/>
            <w:noWrap/>
            <w:vAlign w:val="bottom"/>
            <w:hideMark/>
          </w:tcPr>
          <w:p w:rsidR="003D3294" w:rsidRPr="003D3294" w:rsidRDefault="003D3294" w:rsidP="003D3294">
            <w:pPr>
              <w:jc w:val="center"/>
              <w:rPr>
                <w:rFonts w:ascii="Arial Narrow" w:hAnsi="Arial Narrow"/>
                <w:b/>
                <w:bCs/>
              </w:rPr>
            </w:pPr>
            <w:r w:rsidRPr="003D3294">
              <w:rPr>
                <w:rFonts w:ascii="Arial Narrow" w:hAnsi="Arial Narrow"/>
                <w:b/>
                <w:bCs/>
              </w:rPr>
              <w:t xml:space="preserve"> Total </w:t>
            </w:r>
          </w:p>
        </w:tc>
        <w:tc>
          <w:tcPr>
            <w:tcW w:w="2115" w:type="dxa"/>
            <w:tcBorders>
              <w:top w:val="single" w:sz="4" w:space="0" w:color="auto"/>
              <w:left w:val="nil"/>
              <w:bottom w:val="single" w:sz="4" w:space="0" w:color="auto"/>
              <w:right w:val="single" w:sz="4" w:space="0" w:color="auto"/>
            </w:tcBorders>
            <w:shd w:val="clear" w:color="auto" w:fill="FFFF00"/>
          </w:tcPr>
          <w:p w:rsidR="003D3294" w:rsidRPr="003D3294" w:rsidRDefault="003D3294" w:rsidP="003D3294">
            <w:pPr>
              <w:jc w:val="center"/>
              <w:rPr>
                <w:rFonts w:ascii="Arial Narrow" w:hAnsi="Arial Narrow"/>
                <w:b/>
                <w:bCs/>
              </w:rPr>
            </w:pPr>
            <w:r w:rsidRPr="003D3294">
              <w:rPr>
                <w:rFonts w:ascii="Arial Narrow" w:hAnsi="Arial Narrow"/>
                <w:b/>
                <w:bCs/>
              </w:rPr>
              <w:t>Current</w:t>
            </w:r>
          </w:p>
        </w:tc>
      </w:tr>
      <w:tr w:rsidR="003D3294" w:rsidRPr="003D3294" w:rsidTr="003D3294">
        <w:trPr>
          <w:trHeight w:val="315"/>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Assessments</w:t>
            </w:r>
          </w:p>
        </w:tc>
        <w:tc>
          <w:tcPr>
            <w:tcW w:w="150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                 71 </w:t>
            </w:r>
          </w:p>
        </w:tc>
        <w:tc>
          <w:tcPr>
            <w:tcW w:w="184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                       65 </w:t>
            </w:r>
          </w:p>
        </w:tc>
        <w:tc>
          <w:tcPr>
            <w:tcW w:w="156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b/>
                <w:bCs/>
              </w:rPr>
            </w:pPr>
            <w:r w:rsidRPr="003D3294">
              <w:rPr>
                <w:rFonts w:ascii="Arial Narrow" w:hAnsi="Arial Narrow"/>
                <w:b/>
                <w:bCs/>
              </w:rPr>
              <w:t xml:space="preserve">                136 </w:t>
            </w:r>
          </w:p>
        </w:tc>
        <w:tc>
          <w:tcPr>
            <w:tcW w:w="2115" w:type="dxa"/>
            <w:tcBorders>
              <w:top w:val="nil"/>
              <w:left w:val="nil"/>
              <w:bottom w:val="single" w:sz="4" w:space="0" w:color="auto"/>
              <w:right w:val="single" w:sz="4" w:space="0" w:color="auto"/>
            </w:tcBorders>
          </w:tcPr>
          <w:p w:rsidR="003D3294" w:rsidRPr="003D3294" w:rsidRDefault="00F42323" w:rsidP="003D3294">
            <w:pPr>
              <w:jc w:val="right"/>
              <w:rPr>
                <w:rFonts w:ascii="Arial Narrow" w:hAnsi="Arial Narrow"/>
                <w:b/>
                <w:bCs/>
              </w:rPr>
            </w:pPr>
            <w:r>
              <w:rPr>
                <w:rFonts w:ascii="Arial Narrow" w:hAnsi="Arial Narrow"/>
                <w:b/>
                <w:bCs/>
              </w:rPr>
              <w:t>18</w:t>
            </w:r>
            <w:r w:rsidR="003D3294" w:rsidRPr="003D3294">
              <w:rPr>
                <w:rFonts w:ascii="Arial Narrow" w:hAnsi="Arial Narrow"/>
                <w:b/>
                <w:bCs/>
              </w:rPr>
              <w:t>8</w:t>
            </w:r>
          </w:p>
        </w:tc>
      </w:tr>
      <w:tr w:rsidR="003D3294" w:rsidRPr="003D3294" w:rsidTr="003D3294">
        <w:trPr>
          <w:trHeight w:val="315"/>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Enrollments</w:t>
            </w:r>
          </w:p>
        </w:tc>
        <w:tc>
          <w:tcPr>
            <w:tcW w:w="150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                 35 </w:t>
            </w:r>
          </w:p>
        </w:tc>
        <w:tc>
          <w:tcPr>
            <w:tcW w:w="184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                       32 </w:t>
            </w:r>
          </w:p>
        </w:tc>
        <w:tc>
          <w:tcPr>
            <w:tcW w:w="156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b/>
                <w:bCs/>
              </w:rPr>
            </w:pPr>
            <w:r w:rsidRPr="003D3294">
              <w:rPr>
                <w:rFonts w:ascii="Arial Narrow" w:hAnsi="Arial Narrow"/>
                <w:b/>
                <w:bCs/>
              </w:rPr>
              <w:t xml:space="preserve">                  67 </w:t>
            </w:r>
          </w:p>
        </w:tc>
        <w:tc>
          <w:tcPr>
            <w:tcW w:w="2115" w:type="dxa"/>
            <w:tcBorders>
              <w:top w:val="nil"/>
              <w:left w:val="nil"/>
              <w:bottom w:val="single" w:sz="4" w:space="0" w:color="auto"/>
              <w:right w:val="single" w:sz="4" w:space="0" w:color="auto"/>
            </w:tcBorders>
          </w:tcPr>
          <w:p w:rsidR="003D3294" w:rsidRPr="003D3294" w:rsidRDefault="00F42323" w:rsidP="003D3294">
            <w:pPr>
              <w:jc w:val="right"/>
              <w:rPr>
                <w:rFonts w:ascii="Arial Narrow" w:hAnsi="Arial Narrow"/>
                <w:b/>
                <w:bCs/>
              </w:rPr>
            </w:pPr>
            <w:r>
              <w:rPr>
                <w:rFonts w:ascii="Arial Narrow" w:hAnsi="Arial Narrow"/>
                <w:b/>
                <w:bCs/>
              </w:rPr>
              <w:t>10</w:t>
            </w:r>
            <w:r w:rsidR="001A2291">
              <w:rPr>
                <w:rFonts w:ascii="Arial Narrow" w:hAnsi="Arial Narrow"/>
                <w:b/>
                <w:bCs/>
              </w:rPr>
              <w:t>0</w:t>
            </w:r>
          </w:p>
        </w:tc>
      </w:tr>
      <w:tr w:rsidR="003D3294" w:rsidRPr="003D3294" w:rsidTr="003D3294">
        <w:trPr>
          <w:trHeight w:val="315"/>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Placements</w:t>
            </w:r>
          </w:p>
        </w:tc>
        <w:tc>
          <w:tcPr>
            <w:tcW w:w="150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                 28 </w:t>
            </w:r>
          </w:p>
        </w:tc>
        <w:tc>
          <w:tcPr>
            <w:tcW w:w="184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                       26 </w:t>
            </w:r>
          </w:p>
        </w:tc>
        <w:tc>
          <w:tcPr>
            <w:tcW w:w="156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b/>
                <w:bCs/>
              </w:rPr>
            </w:pPr>
            <w:r w:rsidRPr="003D3294">
              <w:rPr>
                <w:rFonts w:ascii="Arial Narrow" w:hAnsi="Arial Narrow"/>
                <w:b/>
                <w:bCs/>
              </w:rPr>
              <w:t xml:space="preserve">                  54 </w:t>
            </w:r>
          </w:p>
        </w:tc>
        <w:tc>
          <w:tcPr>
            <w:tcW w:w="2115" w:type="dxa"/>
            <w:tcBorders>
              <w:top w:val="nil"/>
              <w:left w:val="nil"/>
              <w:bottom w:val="single" w:sz="4" w:space="0" w:color="auto"/>
              <w:right w:val="single" w:sz="4" w:space="0" w:color="auto"/>
            </w:tcBorders>
          </w:tcPr>
          <w:p w:rsidR="003D3294" w:rsidRPr="003D3294" w:rsidRDefault="006A3B33" w:rsidP="003D3294">
            <w:pPr>
              <w:jc w:val="right"/>
              <w:rPr>
                <w:rFonts w:ascii="Arial Narrow" w:hAnsi="Arial Narrow"/>
                <w:b/>
                <w:bCs/>
              </w:rPr>
            </w:pPr>
            <w:r>
              <w:rPr>
                <w:rFonts w:ascii="Arial Narrow" w:hAnsi="Arial Narrow"/>
                <w:b/>
                <w:bCs/>
              </w:rPr>
              <w:t>54</w:t>
            </w:r>
          </w:p>
        </w:tc>
      </w:tr>
      <w:tr w:rsidR="003D3294" w:rsidRPr="003D3294" w:rsidTr="003D3294">
        <w:trPr>
          <w:trHeight w:val="315"/>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Retain Employment 1 yr.</w:t>
            </w:r>
          </w:p>
        </w:tc>
        <w:tc>
          <w:tcPr>
            <w:tcW w:w="150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                 22 </w:t>
            </w:r>
          </w:p>
        </w:tc>
        <w:tc>
          <w:tcPr>
            <w:tcW w:w="184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                       21 </w:t>
            </w:r>
          </w:p>
        </w:tc>
        <w:tc>
          <w:tcPr>
            <w:tcW w:w="156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b/>
                <w:bCs/>
              </w:rPr>
            </w:pPr>
            <w:r w:rsidRPr="003D3294">
              <w:rPr>
                <w:rFonts w:ascii="Arial Narrow" w:hAnsi="Arial Narrow"/>
                <w:b/>
                <w:bCs/>
              </w:rPr>
              <w:t xml:space="preserve">                  43 </w:t>
            </w:r>
          </w:p>
        </w:tc>
        <w:tc>
          <w:tcPr>
            <w:tcW w:w="2115" w:type="dxa"/>
            <w:tcBorders>
              <w:top w:val="nil"/>
              <w:left w:val="nil"/>
              <w:bottom w:val="single" w:sz="4" w:space="0" w:color="auto"/>
              <w:right w:val="single" w:sz="4" w:space="0" w:color="auto"/>
            </w:tcBorders>
          </w:tcPr>
          <w:p w:rsidR="003D3294" w:rsidRPr="003D3294" w:rsidRDefault="006A3B33" w:rsidP="003D3294">
            <w:pPr>
              <w:jc w:val="right"/>
              <w:rPr>
                <w:rFonts w:ascii="Arial Narrow" w:hAnsi="Arial Narrow"/>
                <w:b/>
                <w:bCs/>
              </w:rPr>
            </w:pPr>
            <w:r>
              <w:rPr>
                <w:rFonts w:ascii="Arial Narrow" w:hAnsi="Arial Narrow"/>
                <w:b/>
                <w:bCs/>
              </w:rPr>
              <w:t>83%</w:t>
            </w:r>
            <w:r w:rsidR="00057FB0">
              <w:rPr>
                <w:rFonts w:ascii="Arial Narrow" w:hAnsi="Arial Narrow"/>
                <w:b/>
                <w:bCs/>
              </w:rPr>
              <w:t xml:space="preserve"> to date</w:t>
            </w:r>
          </w:p>
        </w:tc>
      </w:tr>
      <w:tr w:rsidR="003D3294" w:rsidRPr="003D3294" w:rsidTr="003D3294">
        <w:trPr>
          <w:trHeight w:val="630"/>
        </w:trPr>
        <w:tc>
          <w:tcPr>
            <w:tcW w:w="3965" w:type="dxa"/>
            <w:tcBorders>
              <w:top w:val="nil"/>
              <w:left w:val="single" w:sz="4" w:space="0" w:color="auto"/>
              <w:bottom w:val="single" w:sz="4" w:space="0" w:color="auto"/>
              <w:right w:val="single" w:sz="4" w:space="0" w:color="auto"/>
            </w:tcBorders>
            <w:shd w:val="clear" w:color="auto" w:fill="auto"/>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Retain Employment 1 yr. </w:t>
            </w:r>
            <w:r w:rsidRPr="003D3294">
              <w:rPr>
                <w:rFonts w:ascii="Arial Narrow" w:hAnsi="Arial Narrow"/>
              </w:rPr>
              <w:br/>
              <w:t>AND maintain stable housing</w:t>
            </w:r>
          </w:p>
        </w:tc>
        <w:tc>
          <w:tcPr>
            <w:tcW w:w="1500" w:type="dxa"/>
            <w:tcBorders>
              <w:top w:val="nil"/>
              <w:left w:val="nil"/>
              <w:bottom w:val="single" w:sz="4" w:space="0" w:color="auto"/>
              <w:right w:val="single" w:sz="4" w:space="0" w:color="auto"/>
            </w:tcBorders>
            <w:shd w:val="clear" w:color="auto" w:fill="auto"/>
            <w:noWrap/>
            <w:vAlign w:val="center"/>
            <w:hideMark/>
          </w:tcPr>
          <w:p w:rsidR="003D3294" w:rsidRPr="003D3294" w:rsidRDefault="003D3294" w:rsidP="003D3294">
            <w:pPr>
              <w:jc w:val="center"/>
              <w:rPr>
                <w:rFonts w:ascii="Arial Narrow" w:hAnsi="Arial Narrow"/>
              </w:rPr>
            </w:pPr>
            <w:r w:rsidRPr="003D3294">
              <w:rPr>
                <w:rFonts w:ascii="Arial Narrow" w:hAnsi="Arial Narrow"/>
              </w:rPr>
              <w:t xml:space="preserve">                 14 </w:t>
            </w:r>
          </w:p>
        </w:tc>
        <w:tc>
          <w:tcPr>
            <w:tcW w:w="1840" w:type="dxa"/>
            <w:tcBorders>
              <w:top w:val="nil"/>
              <w:left w:val="nil"/>
              <w:bottom w:val="single" w:sz="4" w:space="0" w:color="auto"/>
              <w:right w:val="single" w:sz="4" w:space="0" w:color="auto"/>
            </w:tcBorders>
            <w:shd w:val="clear" w:color="auto" w:fill="auto"/>
            <w:noWrap/>
            <w:vAlign w:val="center"/>
            <w:hideMark/>
          </w:tcPr>
          <w:p w:rsidR="003D3294" w:rsidRPr="003D3294" w:rsidRDefault="003D3294" w:rsidP="003D3294">
            <w:pPr>
              <w:jc w:val="center"/>
              <w:rPr>
                <w:rFonts w:ascii="Arial Narrow" w:hAnsi="Arial Narrow"/>
              </w:rPr>
            </w:pPr>
            <w:r w:rsidRPr="003D3294">
              <w:rPr>
                <w:rFonts w:ascii="Arial Narrow" w:hAnsi="Arial Narrow"/>
              </w:rPr>
              <w:t xml:space="preserve">                       10 </w:t>
            </w:r>
          </w:p>
        </w:tc>
        <w:tc>
          <w:tcPr>
            <w:tcW w:w="1560" w:type="dxa"/>
            <w:tcBorders>
              <w:top w:val="nil"/>
              <w:left w:val="nil"/>
              <w:bottom w:val="single" w:sz="4" w:space="0" w:color="auto"/>
              <w:right w:val="single" w:sz="4" w:space="0" w:color="auto"/>
            </w:tcBorders>
            <w:shd w:val="clear" w:color="auto" w:fill="auto"/>
            <w:noWrap/>
            <w:vAlign w:val="center"/>
            <w:hideMark/>
          </w:tcPr>
          <w:p w:rsidR="003D3294" w:rsidRPr="003D3294" w:rsidRDefault="003D3294" w:rsidP="003D3294">
            <w:pPr>
              <w:jc w:val="center"/>
              <w:rPr>
                <w:rFonts w:ascii="Arial Narrow" w:hAnsi="Arial Narrow"/>
                <w:b/>
                <w:bCs/>
              </w:rPr>
            </w:pPr>
            <w:r w:rsidRPr="003D3294">
              <w:rPr>
                <w:rFonts w:ascii="Arial Narrow" w:hAnsi="Arial Narrow"/>
                <w:b/>
                <w:bCs/>
              </w:rPr>
              <w:t xml:space="preserve">                  24 </w:t>
            </w:r>
          </w:p>
        </w:tc>
        <w:tc>
          <w:tcPr>
            <w:tcW w:w="2115" w:type="dxa"/>
            <w:tcBorders>
              <w:top w:val="nil"/>
              <w:left w:val="nil"/>
              <w:bottom w:val="single" w:sz="4" w:space="0" w:color="auto"/>
              <w:right w:val="single" w:sz="4" w:space="0" w:color="auto"/>
            </w:tcBorders>
          </w:tcPr>
          <w:p w:rsidR="003D3294" w:rsidRPr="003D3294" w:rsidRDefault="00976D9D" w:rsidP="003D3294">
            <w:pPr>
              <w:jc w:val="right"/>
              <w:rPr>
                <w:rFonts w:ascii="Arial Narrow" w:hAnsi="Arial Narrow"/>
                <w:b/>
                <w:bCs/>
              </w:rPr>
            </w:pPr>
            <w:r>
              <w:rPr>
                <w:rFonts w:ascii="Arial Narrow" w:hAnsi="Arial Narrow"/>
                <w:b/>
                <w:bCs/>
              </w:rPr>
              <w:t>n/a until year end</w:t>
            </w:r>
          </w:p>
        </w:tc>
      </w:tr>
      <w:tr w:rsidR="003D3294" w:rsidRPr="003D3294" w:rsidTr="003D3294">
        <w:trPr>
          <w:trHeight w:val="315"/>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Retention Rate</w:t>
            </w:r>
          </w:p>
        </w:tc>
        <w:tc>
          <w:tcPr>
            <w:tcW w:w="150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right"/>
              <w:rPr>
                <w:rFonts w:ascii="Arial Narrow" w:hAnsi="Arial Narrow"/>
                <w:b/>
                <w:bCs/>
              </w:rPr>
            </w:pPr>
            <w:r w:rsidRPr="003D3294">
              <w:rPr>
                <w:rFonts w:ascii="Arial Narrow" w:hAnsi="Arial Narrow"/>
                <w:b/>
                <w:bCs/>
              </w:rPr>
              <w:t>79%</w:t>
            </w:r>
          </w:p>
        </w:tc>
        <w:tc>
          <w:tcPr>
            <w:tcW w:w="184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right"/>
              <w:rPr>
                <w:rFonts w:ascii="Arial Narrow" w:hAnsi="Arial Narrow"/>
                <w:b/>
                <w:bCs/>
              </w:rPr>
            </w:pPr>
            <w:r w:rsidRPr="003D3294">
              <w:rPr>
                <w:rFonts w:ascii="Arial Narrow" w:hAnsi="Arial Narrow"/>
                <w:b/>
                <w:bCs/>
              </w:rPr>
              <w:t>80%</w:t>
            </w:r>
          </w:p>
        </w:tc>
        <w:tc>
          <w:tcPr>
            <w:tcW w:w="156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right"/>
              <w:rPr>
                <w:rFonts w:ascii="Arial Narrow" w:hAnsi="Arial Narrow"/>
                <w:b/>
                <w:bCs/>
              </w:rPr>
            </w:pPr>
            <w:r w:rsidRPr="003D3294">
              <w:rPr>
                <w:rFonts w:ascii="Arial Narrow" w:hAnsi="Arial Narrow"/>
                <w:b/>
                <w:bCs/>
              </w:rPr>
              <w:t>79%</w:t>
            </w:r>
          </w:p>
        </w:tc>
        <w:tc>
          <w:tcPr>
            <w:tcW w:w="2115" w:type="dxa"/>
            <w:tcBorders>
              <w:top w:val="nil"/>
              <w:left w:val="nil"/>
              <w:bottom w:val="single" w:sz="4" w:space="0" w:color="auto"/>
              <w:right w:val="single" w:sz="4" w:space="0" w:color="auto"/>
            </w:tcBorders>
          </w:tcPr>
          <w:p w:rsidR="003D3294" w:rsidRPr="003D3294" w:rsidRDefault="006A3B33" w:rsidP="003D3294">
            <w:pPr>
              <w:jc w:val="right"/>
              <w:rPr>
                <w:rFonts w:ascii="Arial Narrow" w:hAnsi="Arial Narrow"/>
                <w:b/>
                <w:bCs/>
              </w:rPr>
            </w:pPr>
            <w:r>
              <w:rPr>
                <w:rFonts w:ascii="Arial Narrow" w:hAnsi="Arial Narrow"/>
                <w:b/>
                <w:bCs/>
              </w:rPr>
              <w:t>n/a until year end</w:t>
            </w:r>
          </w:p>
        </w:tc>
      </w:tr>
    </w:tbl>
    <w:p w:rsidR="001D2D2E" w:rsidRDefault="001D2D2E" w:rsidP="001D2D2E">
      <w:pPr>
        <w:jc w:val="center"/>
        <w:rPr>
          <w:rFonts w:ascii="Arial Narrow" w:hAnsi="Arial Narrow"/>
        </w:rPr>
      </w:pPr>
    </w:p>
    <w:p w:rsidR="003D3294" w:rsidRPr="003D3294" w:rsidRDefault="003D3294" w:rsidP="001D2D2E">
      <w:pPr>
        <w:jc w:val="center"/>
        <w:rPr>
          <w:rFonts w:ascii="Arial Narrow" w:hAnsi="Arial Narrow"/>
          <w:b/>
        </w:rPr>
      </w:pPr>
      <w:r w:rsidRPr="003D3294">
        <w:rPr>
          <w:rFonts w:ascii="Arial Narrow" w:hAnsi="Arial Narrow"/>
          <w:b/>
        </w:rPr>
        <w:t>Berkshire County Goals versus Outcomes:</w:t>
      </w:r>
    </w:p>
    <w:p w:rsidR="003D3294" w:rsidRDefault="003D3294" w:rsidP="001D2D2E">
      <w:pPr>
        <w:jc w:val="center"/>
        <w:rPr>
          <w:rFonts w:ascii="Arial Narrow" w:hAnsi="Arial Narrow"/>
        </w:rPr>
      </w:pPr>
    </w:p>
    <w:tbl>
      <w:tblPr>
        <w:tblStyle w:val="TableGrid"/>
        <w:tblW w:w="0" w:type="auto"/>
        <w:tblLook w:val="04A0" w:firstRow="1" w:lastRow="0" w:firstColumn="1" w:lastColumn="0" w:noHBand="0" w:noVBand="1"/>
      </w:tblPr>
      <w:tblGrid>
        <w:gridCol w:w="3885"/>
        <w:gridCol w:w="3427"/>
        <w:gridCol w:w="3704"/>
      </w:tblGrid>
      <w:tr w:rsidR="00541DC6" w:rsidTr="00541DC6">
        <w:tc>
          <w:tcPr>
            <w:tcW w:w="3885" w:type="dxa"/>
            <w:shd w:val="clear" w:color="auto" w:fill="FFFF00"/>
          </w:tcPr>
          <w:p w:rsidR="00541DC6" w:rsidRPr="003D3294" w:rsidRDefault="00541DC6" w:rsidP="001D2D2E">
            <w:pPr>
              <w:jc w:val="center"/>
              <w:rPr>
                <w:rFonts w:ascii="Arial Narrow" w:hAnsi="Arial Narrow"/>
                <w:b/>
              </w:rPr>
            </w:pPr>
            <w:r w:rsidRPr="003D3294">
              <w:rPr>
                <w:rFonts w:ascii="Arial Narrow" w:hAnsi="Arial Narrow"/>
                <w:b/>
              </w:rPr>
              <w:t>Proposed Outcomes</w:t>
            </w:r>
          </w:p>
        </w:tc>
        <w:tc>
          <w:tcPr>
            <w:tcW w:w="3427" w:type="dxa"/>
            <w:shd w:val="clear" w:color="auto" w:fill="FFFF00"/>
          </w:tcPr>
          <w:p w:rsidR="00541DC6" w:rsidRPr="003D3294" w:rsidRDefault="00541DC6" w:rsidP="001D2D2E">
            <w:pPr>
              <w:jc w:val="center"/>
              <w:rPr>
                <w:rFonts w:ascii="Arial Narrow" w:hAnsi="Arial Narrow"/>
                <w:b/>
              </w:rPr>
            </w:pPr>
            <w:r>
              <w:rPr>
                <w:rFonts w:ascii="Arial Narrow" w:hAnsi="Arial Narrow"/>
                <w:b/>
              </w:rPr>
              <w:t>Goal</w:t>
            </w:r>
          </w:p>
        </w:tc>
        <w:tc>
          <w:tcPr>
            <w:tcW w:w="3704" w:type="dxa"/>
            <w:shd w:val="clear" w:color="auto" w:fill="FFFF00"/>
          </w:tcPr>
          <w:p w:rsidR="00541DC6" w:rsidRPr="003D3294" w:rsidRDefault="00541DC6" w:rsidP="001D2D2E">
            <w:pPr>
              <w:jc w:val="center"/>
              <w:rPr>
                <w:rFonts w:ascii="Arial Narrow" w:hAnsi="Arial Narrow"/>
                <w:b/>
              </w:rPr>
            </w:pPr>
            <w:r w:rsidRPr="003D3294">
              <w:rPr>
                <w:rFonts w:ascii="Arial Narrow" w:hAnsi="Arial Narrow"/>
                <w:b/>
              </w:rPr>
              <w:t xml:space="preserve">Current </w:t>
            </w:r>
          </w:p>
        </w:tc>
      </w:tr>
      <w:tr w:rsidR="00541DC6" w:rsidTr="00541DC6">
        <w:tc>
          <w:tcPr>
            <w:tcW w:w="3885" w:type="dxa"/>
          </w:tcPr>
          <w:p w:rsidR="00541DC6" w:rsidRDefault="00541DC6" w:rsidP="001D2D2E">
            <w:pPr>
              <w:jc w:val="center"/>
              <w:rPr>
                <w:rFonts w:ascii="Arial Narrow" w:hAnsi="Arial Narrow"/>
              </w:rPr>
            </w:pPr>
            <w:r>
              <w:rPr>
                <w:rFonts w:ascii="Arial Narrow" w:hAnsi="Arial Narrow"/>
              </w:rPr>
              <w:t>Enrollments</w:t>
            </w:r>
          </w:p>
        </w:tc>
        <w:tc>
          <w:tcPr>
            <w:tcW w:w="3427" w:type="dxa"/>
          </w:tcPr>
          <w:p w:rsidR="00541DC6" w:rsidRDefault="00541DC6" w:rsidP="001D2D2E">
            <w:pPr>
              <w:jc w:val="center"/>
              <w:rPr>
                <w:rFonts w:ascii="Arial Narrow" w:hAnsi="Arial Narrow"/>
              </w:rPr>
            </w:pPr>
            <w:r>
              <w:rPr>
                <w:rFonts w:ascii="Arial Narrow" w:hAnsi="Arial Narrow"/>
              </w:rPr>
              <w:t>25</w:t>
            </w:r>
          </w:p>
        </w:tc>
        <w:tc>
          <w:tcPr>
            <w:tcW w:w="3704" w:type="dxa"/>
          </w:tcPr>
          <w:p w:rsidR="00541DC6" w:rsidRDefault="00541DC6" w:rsidP="001A2291">
            <w:pPr>
              <w:jc w:val="center"/>
              <w:rPr>
                <w:rFonts w:ascii="Arial Narrow" w:hAnsi="Arial Narrow"/>
              </w:rPr>
            </w:pPr>
            <w:r>
              <w:rPr>
                <w:rFonts w:ascii="Arial Narrow" w:hAnsi="Arial Narrow"/>
              </w:rPr>
              <w:t>2</w:t>
            </w:r>
            <w:r w:rsidR="001A2291">
              <w:rPr>
                <w:rFonts w:ascii="Arial Narrow" w:hAnsi="Arial Narrow"/>
              </w:rPr>
              <w:t>6</w:t>
            </w:r>
          </w:p>
        </w:tc>
      </w:tr>
      <w:tr w:rsidR="00541DC6" w:rsidTr="00541DC6">
        <w:tc>
          <w:tcPr>
            <w:tcW w:w="3885" w:type="dxa"/>
          </w:tcPr>
          <w:p w:rsidR="00541DC6" w:rsidRDefault="00541DC6" w:rsidP="001D2D2E">
            <w:pPr>
              <w:jc w:val="center"/>
              <w:rPr>
                <w:rFonts w:ascii="Arial Narrow" w:hAnsi="Arial Narrow"/>
              </w:rPr>
            </w:pPr>
            <w:r>
              <w:rPr>
                <w:rFonts w:ascii="Arial Narrow" w:hAnsi="Arial Narrow"/>
              </w:rPr>
              <w:t>Placements</w:t>
            </w:r>
          </w:p>
        </w:tc>
        <w:tc>
          <w:tcPr>
            <w:tcW w:w="3427" w:type="dxa"/>
          </w:tcPr>
          <w:p w:rsidR="00541DC6" w:rsidRDefault="00541DC6" w:rsidP="001D2D2E">
            <w:pPr>
              <w:jc w:val="center"/>
              <w:rPr>
                <w:rFonts w:ascii="Arial Narrow" w:hAnsi="Arial Narrow"/>
              </w:rPr>
            </w:pPr>
            <w:r>
              <w:rPr>
                <w:rFonts w:ascii="Arial Narrow" w:hAnsi="Arial Narrow"/>
              </w:rPr>
              <w:t>20</w:t>
            </w:r>
          </w:p>
        </w:tc>
        <w:tc>
          <w:tcPr>
            <w:tcW w:w="3704" w:type="dxa"/>
          </w:tcPr>
          <w:p w:rsidR="00541DC6" w:rsidRDefault="006A3B33" w:rsidP="001D2D2E">
            <w:pPr>
              <w:jc w:val="center"/>
              <w:rPr>
                <w:rFonts w:ascii="Arial Narrow" w:hAnsi="Arial Narrow"/>
              </w:rPr>
            </w:pPr>
            <w:r>
              <w:rPr>
                <w:rFonts w:ascii="Arial Narrow" w:hAnsi="Arial Narrow"/>
              </w:rPr>
              <w:t>6</w:t>
            </w:r>
          </w:p>
        </w:tc>
      </w:tr>
    </w:tbl>
    <w:p w:rsidR="003D3294" w:rsidRDefault="003D3294" w:rsidP="001D2D2E">
      <w:pPr>
        <w:jc w:val="center"/>
        <w:rPr>
          <w:rFonts w:ascii="Arial Narrow" w:hAnsi="Arial Narrow"/>
        </w:rPr>
      </w:pPr>
    </w:p>
    <w:p w:rsidR="00E74781" w:rsidRDefault="006C6418" w:rsidP="001D2D2E">
      <w:pPr>
        <w:jc w:val="center"/>
        <w:rPr>
          <w:rFonts w:ascii="Arial Narrow" w:hAnsi="Arial Narrow"/>
          <w:b/>
        </w:rPr>
      </w:pPr>
      <w:r w:rsidRPr="006C6418">
        <w:rPr>
          <w:rFonts w:ascii="Arial Narrow" w:hAnsi="Arial Narrow"/>
          <w:b/>
        </w:rPr>
        <w:t>Success Story:</w:t>
      </w:r>
    </w:p>
    <w:p w:rsidR="001A2291" w:rsidRDefault="001A2291" w:rsidP="001A2291">
      <w:pPr>
        <w:jc w:val="both"/>
      </w:pPr>
    </w:p>
    <w:p w:rsidR="008F1E38" w:rsidRDefault="006A3B33" w:rsidP="008F1E38">
      <w:pPr>
        <w:jc w:val="both"/>
        <w:rPr>
          <w:rFonts w:ascii="Arial Narrow" w:hAnsi="Arial Narrow"/>
        </w:rPr>
      </w:pPr>
      <w:r>
        <w:rPr>
          <w:rFonts w:ascii="Arial Narrow" w:hAnsi="Arial Narrow"/>
        </w:rPr>
        <w:t xml:space="preserve">SJI is in the midst of a major success </w:t>
      </w:r>
      <w:r w:rsidR="00057FB0">
        <w:rPr>
          <w:rFonts w:ascii="Arial Narrow" w:hAnsi="Arial Narrow"/>
        </w:rPr>
        <w:t xml:space="preserve">story </w:t>
      </w:r>
      <w:r>
        <w:rPr>
          <w:rFonts w:ascii="Arial Narrow" w:hAnsi="Arial Narrow"/>
        </w:rPr>
        <w:t xml:space="preserve">with SJI participant Francisco. Francisco came to SJI extremely motivated and wanting to work to support his household. He is a single father, living in an EA shelter and has a strong desire to do what is necessary to provide a better life for his daughter outside of shelter system. </w:t>
      </w:r>
    </w:p>
    <w:p w:rsidR="006A3B33" w:rsidRDefault="006A3B33" w:rsidP="008F1E38">
      <w:pPr>
        <w:jc w:val="both"/>
        <w:rPr>
          <w:rFonts w:ascii="Arial Narrow" w:hAnsi="Arial Narrow"/>
        </w:rPr>
      </w:pPr>
    </w:p>
    <w:p w:rsidR="006A3B33" w:rsidRDefault="006A3B33" w:rsidP="008F1E38">
      <w:pPr>
        <w:jc w:val="both"/>
        <w:rPr>
          <w:rFonts w:ascii="Arial Narrow" w:hAnsi="Arial Narrow"/>
        </w:rPr>
      </w:pPr>
      <w:r>
        <w:rPr>
          <w:rFonts w:ascii="Arial Narrow" w:hAnsi="Arial Narrow"/>
        </w:rPr>
        <w:t xml:space="preserve">Francisco came to SJI with multiple barriers. SJI worked with him to secure a job interview and </w:t>
      </w:r>
      <w:r w:rsidR="00057FB0">
        <w:rPr>
          <w:rFonts w:ascii="Arial Narrow" w:hAnsi="Arial Narrow"/>
        </w:rPr>
        <w:t xml:space="preserve">following this interview </w:t>
      </w:r>
      <w:r>
        <w:rPr>
          <w:rFonts w:ascii="Arial Narrow" w:hAnsi="Arial Narrow"/>
        </w:rPr>
        <w:t xml:space="preserve">he was offered the job. The SJI staff jumped over hurdles to get him employed and then was faced with another never ending hurdle of </w:t>
      </w:r>
      <w:r w:rsidR="00057FB0">
        <w:rPr>
          <w:rFonts w:ascii="Arial Narrow" w:hAnsi="Arial Narrow"/>
        </w:rPr>
        <w:t xml:space="preserve">securing </w:t>
      </w:r>
      <w:r>
        <w:rPr>
          <w:rFonts w:ascii="Arial Narrow" w:hAnsi="Arial Narrow"/>
        </w:rPr>
        <w:t xml:space="preserve">child care. Francisco’s job started in the early hours of the day and as a single father, he was unable to relay on a partner to help with child care. SJI staff worked with him to locate an in home day care provider that allows him to drop his daughter off before 5:00 AM so Francisco could ride his bike </w:t>
      </w:r>
      <w:r w:rsidR="00057FB0">
        <w:rPr>
          <w:rFonts w:ascii="Arial Narrow" w:hAnsi="Arial Narrow"/>
        </w:rPr>
        <w:t xml:space="preserve">to work, sometimes even </w:t>
      </w:r>
      <w:r>
        <w:rPr>
          <w:rFonts w:ascii="Arial Narrow" w:hAnsi="Arial Narrow"/>
        </w:rPr>
        <w:t>through the wind and</w:t>
      </w:r>
      <w:r w:rsidR="00057FB0">
        <w:rPr>
          <w:rFonts w:ascii="Arial Narrow" w:hAnsi="Arial Narrow"/>
        </w:rPr>
        <w:t xml:space="preserve"> the rain</w:t>
      </w:r>
      <w:r>
        <w:rPr>
          <w:rFonts w:ascii="Arial Narrow" w:hAnsi="Arial Narrow"/>
        </w:rPr>
        <w:t>.</w:t>
      </w:r>
      <w:r w:rsidR="00057FB0">
        <w:rPr>
          <w:rFonts w:ascii="Arial Narrow" w:hAnsi="Arial Narrow"/>
        </w:rPr>
        <w:t xml:space="preserve"> He never gave up, even during the snow and was never late to work.</w:t>
      </w:r>
    </w:p>
    <w:p w:rsidR="006A3B33" w:rsidRDefault="006A3B33" w:rsidP="008F1E38">
      <w:pPr>
        <w:jc w:val="both"/>
        <w:rPr>
          <w:rFonts w:ascii="Arial Narrow" w:hAnsi="Arial Narrow"/>
        </w:rPr>
      </w:pPr>
    </w:p>
    <w:p w:rsidR="006A3B33" w:rsidRDefault="006A3B33" w:rsidP="008F1E38">
      <w:pPr>
        <w:jc w:val="both"/>
        <w:rPr>
          <w:rFonts w:ascii="Arial Narrow" w:hAnsi="Arial Narrow"/>
        </w:rPr>
      </w:pPr>
      <w:r>
        <w:rPr>
          <w:rFonts w:ascii="Arial Narrow" w:hAnsi="Arial Narrow"/>
        </w:rPr>
        <w:t>After battling through snow storms and ice on his bicycle</w:t>
      </w:r>
      <w:r w:rsidR="00057FB0">
        <w:rPr>
          <w:rFonts w:ascii="Arial Narrow" w:hAnsi="Arial Narrow"/>
        </w:rPr>
        <w:t xml:space="preserve"> commute to work</w:t>
      </w:r>
      <w:r>
        <w:rPr>
          <w:rFonts w:ascii="Arial Narrow" w:hAnsi="Arial Narrow"/>
        </w:rPr>
        <w:t>, Francisco was able to save money and has purchased a car. With the help of SJI funding, the program will help pay for his insurance c</w:t>
      </w:r>
      <w:r w:rsidR="00057FB0">
        <w:rPr>
          <w:rFonts w:ascii="Arial Narrow" w:hAnsi="Arial Narrow"/>
        </w:rPr>
        <w:t>osts</w:t>
      </w:r>
      <w:r>
        <w:rPr>
          <w:rFonts w:ascii="Arial Narrow" w:hAnsi="Arial Narrow"/>
        </w:rPr>
        <w:t xml:space="preserve"> to get his car on the road. Throughout this entire process, Francisco has proven to SJI and the team working with him, that with the right team and right motivation, those sometimes never end</w:t>
      </w:r>
      <w:r w:rsidR="00057FB0">
        <w:rPr>
          <w:rFonts w:ascii="Arial Narrow" w:hAnsi="Arial Narrow"/>
        </w:rPr>
        <w:t>ing hurdles can be jumped over successfully.</w:t>
      </w:r>
    </w:p>
    <w:p w:rsidR="006A3B33" w:rsidRDefault="006A3B33" w:rsidP="008F1E38">
      <w:pPr>
        <w:jc w:val="both"/>
        <w:rPr>
          <w:rFonts w:ascii="Arial Narrow" w:hAnsi="Arial Narrow"/>
        </w:rPr>
      </w:pPr>
    </w:p>
    <w:p w:rsidR="006A3B33" w:rsidRPr="00057FB0" w:rsidRDefault="006A3B33" w:rsidP="008F1E38">
      <w:pPr>
        <w:jc w:val="both"/>
        <w:rPr>
          <w:rFonts w:ascii="Arial Narrow" w:hAnsi="Arial Narrow"/>
          <w:i/>
        </w:rPr>
      </w:pPr>
      <w:r w:rsidRPr="00057FB0">
        <w:rPr>
          <w:rFonts w:ascii="Arial Narrow" w:hAnsi="Arial Narrow"/>
          <w:i/>
        </w:rPr>
        <w:t xml:space="preserve">Stay tuned for more information on Francisco and his success with SJI. </w:t>
      </w:r>
    </w:p>
    <w:p w:rsidR="006C6418" w:rsidRPr="006C6418" w:rsidRDefault="006C6418" w:rsidP="001D2D2E">
      <w:pPr>
        <w:jc w:val="center"/>
        <w:rPr>
          <w:rFonts w:ascii="Arial Narrow" w:hAnsi="Arial Narrow"/>
          <w:b/>
        </w:rPr>
      </w:pPr>
    </w:p>
    <w:sectPr w:rsidR="006C6418" w:rsidRPr="006C6418" w:rsidSect="001D2D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36"/>
    <w:rsid w:val="00023B62"/>
    <w:rsid w:val="00050ACD"/>
    <w:rsid w:val="00057FB0"/>
    <w:rsid w:val="00105412"/>
    <w:rsid w:val="001A2291"/>
    <w:rsid w:val="001D2D2E"/>
    <w:rsid w:val="00223936"/>
    <w:rsid w:val="002329CC"/>
    <w:rsid w:val="00377833"/>
    <w:rsid w:val="003D3294"/>
    <w:rsid w:val="003F31F7"/>
    <w:rsid w:val="00541DC6"/>
    <w:rsid w:val="006821CB"/>
    <w:rsid w:val="006A3B33"/>
    <w:rsid w:val="006C6418"/>
    <w:rsid w:val="007510A8"/>
    <w:rsid w:val="008220A7"/>
    <w:rsid w:val="00840E46"/>
    <w:rsid w:val="00846164"/>
    <w:rsid w:val="008A62C7"/>
    <w:rsid w:val="008E4C47"/>
    <w:rsid w:val="008F1E38"/>
    <w:rsid w:val="00976D9D"/>
    <w:rsid w:val="00AC4AA0"/>
    <w:rsid w:val="00AD4FCF"/>
    <w:rsid w:val="00AD6100"/>
    <w:rsid w:val="00B12607"/>
    <w:rsid w:val="00B95274"/>
    <w:rsid w:val="00BC2EB4"/>
    <w:rsid w:val="00D8086E"/>
    <w:rsid w:val="00DD1A8A"/>
    <w:rsid w:val="00E74781"/>
    <w:rsid w:val="00F42323"/>
    <w:rsid w:val="00FB6FFC"/>
    <w:rsid w:val="00FC26BA"/>
    <w:rsid w:val="00FC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936"/>
    <w:rPr>
      <w:rFonts w:ascii="Tahoma" w:hAnsi="Tahoma" w:cs="Tahoma"/>
      <w:sz w:val="16"/>
      <w:szCs w:val="16"/>
    </w:rPr>
  </w:style>
  <w:style w:type="character" w:customStyle="1" w:styleId="BalloonTextChar">
    <w:name w:val="Balloon Text Char"/>
    <w:basedOn w:val="DefaultParagraphFont"/>
    <w:link w:val="BalloonText"/>
    <w:uiPriority w:val="99"/>
    <w:semiHidden/>
    <w:rsid w:val="00223936"/>
    <w:rPr>
      <w:rFonts w:ascii="Tahoma" w:hAnsi="Tahoma" w:cs="Tahoma"/>
      <w:sz w:val="16"/>
      <w:szCs w:val="16"/>
    </w:rPr>
  </w:style>
  <w:style w:type="table" w:styleId="TableGrid">
    <w:name w:val="Table Grid"/>
    <w:basedOn w:val="TableNormal"/>
    <w:uiPriority w:val="59"/>
    <w:rsid w:val="003D3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936"/>
    <w:rPr>
      <w:rFonts w:ascii="Tahoma" w:hAnsi="Tahoma" w:cs="Tahoma"/>
      <w:sz w:val="16"/>
      <w:szCs w:val="16"/>
    </w:rPr>
  </w:style>
  <w:style w:type="character" w:customStyle="1" w:styleId="BalloonTextChar">
    <w:name w:val="Balloon Text Char"/>
    <w:basedOn w:val="DefaultParagraphFont"/>
    <w:link w:val="BalloonText"/>
    <w:uiPriority w:val="99"/>
    <w:semiHidden/>
    <w:rsid w:val="00223936"/>
    <w:rPr>
      <w:rFonts w:ascii="Tahoma" w:hAnsi="Tahoma" w:cs="Tahoma"/>
      <w:sz w:val="16"/>
      <w:szCs w:val="16"/>
    </w:rPr>
  </w:style>
  <w:style w:type="table" w:styleId="TableGrid">
    <w:name w:val="Table Grid"/>
    <w:basedOn w:val="TableNormal"/>
    <w:uiPriority w:val="59"/>
    <w:rsid w:val="003D3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Arial Narrow" panose="020B0606020202030204" pitchFamily="34" charset="0"/>
              </a:defRPr>
            </a:pPr>
            <a:r>
              <a:rPr lang="en-US">
                <a:latin typeface="Arial Narrow" panose="020B0606020202030204" pitchFamily="34" charset="0"/>
              </a:rPr>
              <a:t>FY16 SJI Placements-Hampden County</a:t>
            </a:r>
          </a:p>
        </c:rich>
      </c:tx>
      <c:overlay val="0"/>
    </c:title>
    <c:autoTitleDeleted val="0"/>
    <c:plotArea>
      <c:layout/>
      <c:barChart>
        <c:barDir val="col"/>
        <c:grouping val="clustered"/>
        <c:varyColors val="0"/>
        <c:ser>
          <c:idx val="0"/>
          <c:order val="0"/>
          <c:tx>
            <c:strRef>
              <c:f>Sheet1!$B$1</c:f>
              <c:strCache>
                <c:ptCount val="1"/>
                <c:pt idx="0">
                  <c:v>Monthly Goal</c:v>
                </c:pt>
              </c:strCache>
            </c:strRef>
          </c:tx>
          <c:invertIfNegative val="0"/>
          <c:cat>
            <c:strRef>
              <c:f>Sheet1!$A$2:$A$10</c:f>
              <c:strCache>
                <c:ptCount val="9"/>
                <c:pt idx="0">
                  <c:v>July</c:v>
                </c:pt>
                <c:pt idx="1">
                  <c:v>August</c:v>
                </c:pt>
                <c:pt idx="2">
                  <c:v>September</c:v>
                </c:pt>
                <c:pt idx="3">
                  <c:v>October</c:v>
                </c:pt>
                <c:pt idx="4">
                  <c:v>November</c:v>
                </c:pt>
                <c:pt idx="5">
                  <c:v>December</c:v>
                </c:pt>
                <c:pt idx="6">
                  <c:v>January</c:v>
                </c:pt>
                <c:pt idx="7">
                  <c:v>February</c:v>
                </c:pt>
                <c:pt idx="8">
                  <c:v>Total Placement Goal</c:v>
                </c:pt>
              </c:strCache>
            </c:strRef>
          </c:cat>
          <c:val>
            <c:numRef>
              <c:f>Sheet1!$B$2:$B$10</c:f>
              <c:numCache>
                <c:formatCode>General</c:formatCode>
                <c:ptCount val="9"/>
                <c:pt idx="0">
                  <c:v>4.5</c:v>
                </c:pt>
                <c:pt idx="1">
                  <c:v>4.5</c:v>
                </c:pt>
                <c:pt idx="2">
                  <c:v>4.5</c:v>
                </c:pt>
                <c:pt idx="3">
                  <c:v>4.5</c:v>
                </c:pt>
                <c:pt idx="4">
                  <c:v>4.5</c:v>
                </c:pt>
                <c:pt idx="5">
                  <c:v>4.5</c:v>
                </c:pt>
                <c:pt idx="6">
                  <c:v>4.5</c:v>
                </c:pt>
                <c:pt idx="7">
                  <c:v>4.5</c:v>
                </c:pt>
                <c:pt idx="8">
                  <c:v>54</c:v>
                </c:pt>
              </c:numCache>
            </c:numRef>
          </c:val>
        </c:ser>
        <c:ser>
          <c:idx val="1"/>
          <c:order val="1"/>
          <c:tx>
            <c:strRef>
              <c:f>Sheet1!$C$1</c:f>
              <c:strCache>
                <c:ptCount val="1"/>
                <c:pt idx="0">
                  <c:v>Placements to Date</c:v>
                </c:pt>
              </c:strCache>
            </c:strRef>
          </c:tx>
          <c:invertIfNegative val="0"/>
          <c:cat>
            <c:strRef>
              <c:f>Sheet1!$A$2:$A$10</c:f>
              <c:strCache>
                <c:ptCount val="9"/>
                <c:pt idx="0">
                  <c:v>July</c:v>
                </c:pt>
                <c:pt idx="1">
                  <c:v>August</c:v>
                </c:pt>
                <c:pt idx="2">
                  <c:v>September</c:v>
                </c:pt>
                <c:pt idx="3">
                  <c:v>October</c:v>
                </c:pt>
                <c:pt idx="4">
                  <c:v>November</c:v>
                </c:pt>
                <c:pt idx="5">
                  <c:v>December</c:v>
                </c:pt>
                <c:pt idx="6">
                  <c:v>January</c:v>
                </c:pt>
                <c:pt idx="7">
                  <c:v>February</c:v>
                </c:pt>
                <c:pt idx="8">
                  <c:v>Total Placement Goal</c:v>
                </c:pt>
              </c:strCache>
            </c:strRef>
          </c:cat>
          <c:val>
            <c:numRef>
              <c:f>Sheet1!$C$2:$C$10</c:f>
              <c:numCache>
                <c:formatCode>General</c:formatCode>
                <c:ptCount val="9"/>
                <c:pt idx="0">
                  <c:v>3</c:v>
                </c:pt>
                <c:pt idx="1">
                  <c:v>2</c:v>
                </c:pt>
                <c:pt idx="2">
                  <c:v>4</c:v>
                </c:pt>
                <c:pt idx="3">
                  <c:v>14</c:v>
                </c:pt>
                <c:pt idx="4">
                  <c:v>8</c:v>
                </c:pt>
                <c:pt idx="5">
                  <c:v>9</c:v>
                </c:pt>
                <c:pt idx="6">
                  <c:v>6</c:v>
                </c:pt>
                <c:pt idx="7">
                  <c:v>8</c:v>
                </c:pt>
                <c:pt idx="8">
                  <c:v>54</c:v>
                </c:pt>
              </c:numCache>
            </c:numRef>
          </c:val>
        </c:ser>
        <c:dLbls>
          <c:dLblPos val="ctr"/>
          <c:showLegendKey val="0"/>
          <c:showVal val="1"/>
          <c:showCatName val="0"/>
          <c:showSerName val="0"/>
          <c:showPercent val="0"/>
          <c:showBubbleSize val="0"/>
        </c:dLbls>
        <c:gapWidth val="150"/>
        <c:axId val="131982464"/>
        <c:axId val="131984000"/>
      </c:barChart>
      <c:catAx>
        <c:axId val="131982464"/>
        <c:scaling>
          <c:orientation val="minMax"/>
        </c:scaling>
        <c:delete val="0"/>
        <c:axPos val="b"/>
        <c:majorTickMark val="out"/>
        <c:minorTickMark val="none"/>
        <c:tickLblPos val="nextTo"/>
        <c:txPr>
          <a:bodyPr/>
          <a:lstStyle/>
          <a:p>
            <a:pPr>
              <a:defRPr>
                <a:latin typeface="Arial Narrow" panose="020B0606020202030204" pitchFamily="34" charset="0"/>
              </a:defRPr>
            </a:pPr>
            <a:endParaRPr lang="en-US"/>
          </a:p>
        </c:txPr>
        <c:crossAx val="131984000"/>
        <c:crosses val="autoZero"/>
        <c:auto val="1"/>
        <c:lblAlgn val="ctr"/>
        <c:lblOffset val="100"/>
        <c:noMultiLvlLbl val="0"/>
      </c:catAx>
      <c:valAx>
        <c:axId val="131984000"/>
        <c:scaling>
          <c:orientation val="minMax"/>
        </c:scaling>
        <c:delete val="0"/>
        <c:axPos val="l"/>
        <c:majorGridlines/>
        <c:numFmt formatCode="General" sourceLinked="1"/>
        <c:majorTickMark val="out"/>
        <c:minorTickMark val="none"/>
        <c:tickLblPos val="nextTo"/>
        <c:crossAx val="131982464"/>
        <c:crosses val="autoZero"/>
        <c:crossBetween val="between"/>
      </c:valAx>
    </c:plotArea>
    <c:legend>
      <c:legendPos val="r"/>
      <c:overlay val="0"/>
      <c:txPr>
        <a:bodyPr/>
        <a:lstStyle/>
        <a:p>
          <a:pPr>
            <a:defRPr>
              <a:latin typeface="Arial Narrow" panose="020B0606020202030204" pitchFamily="34"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Arial Narrow" panose="020B0606020202030204" pitchFamily="34" charset="0"/>
              </a:defRPr>
            </a:pPr>
            <a:r>
              <a:rPr lang="en-US">
                <a:latin typeface="Arial Narrow" panose="020B0606020202030204" pitchFamily="34" charset="0"/>
              </a:rPr>
              <a:t>FY15 &amp; FY16 SJI Placements-Berkshire</a:t>
            </a:r>
            <a:r>
              <a:rPr lang="en-US" baseline="0">
                <a:latin typeface="Arial Narrow" panose="020B0606020202030204" pitchFamily="34" charset="0"/>
              </a:rPr>
              <a:t> County</a:t>
            </a:r>
            <a:endParaRPr lang="en-US">
              <a:latin typeface="Arial Narrow" panose="020B0606020202030204" pitchFamily="34" charset="0"/>
            </a:endParaRPr>
          </a:p>
        </c:rich>
      </c:tx>
      <c:overlay val="0"/>
    </c:title>
    <c:autoTitleDeleted val="0"/>
    <c:plotArea>
      <c:layout/>
      <c:barChart>
        <c:barDir val="col"/>
        <c:grouping val="clustered"/>
        <c:varyColors val="0"/>
        <c:ser>
          <c:idx val="0"/>
          <c:order val="0"/>
          <c:tx>
            <c:strRef>
              <c:f>Sheet1!$B$1</c:f>
              <c:strCache>
                <c:ptCount val="1"/>
                <c:pt idx="0">
                  <c:v>Placement Goal</c:v>
                </c:pt>
              </c:strCache>
            </c:strRef>
          </c:tx>
          <c:invertIfNegative val="0"/>
          <c:cat>
            <c:strRef>
              <c:f>Sheet1!$A$2</c:f>
              <c:strCache>
                <c:ptCount val="1"/>
                <c:pt idx="0">
                  <c:v>Year Total</c:v>
                </c:pt>
              </c:strCache>
            </c:strRef>
          </c:cat>
          <c:val>
            <c:numRef>
              <c:f>Sheet1!$B$2</c:f>
              <c:numCache>
                <c:formatCode>General</c:formatCode>
                <c:ptCount val="1"/>
                <c:pt idx="0">
                  <c:v>20</c:v>
                </c:pt>
              </c:numCache>
            </c:numRef>
          </c:val>
        </c:ser>
        <c:ser>
          <c:idx val="1"/>
          <c:order val="1"/>
          <c:tx>
            <c:strRef>
              <c:f>Sheet1!$C$1</c:f>
              <c:strCache>
                <c:ptCount val="1"/>
                <c:pt idx="0">
                  <c:v>Placements to Date</c:v>
                </c:pt>
              </c:strCache>
            </c:strRef>
          </c:tx>
          <c:invertIfNegative val="0"/>
          <c:cat>
            <c:strRef>
              <c:f>Sheet1!$A$2</c:f>
              <c:strCache>
                <c:ptCount val="1"/>
                <c:pt idx="0">
                  <c:v>Year Total</c:v>
                </c:pt>
              </c:strCache>
            </c:strRef>
          </c:cat>
          <c:val>
            <c:numRef>
              <c:f>Sheet1!$C$2</c:f>
              <c:numCache>
                <c:formatCode>General</c:formatCode>
                <c:ptCount val="1"/>
                <c:pt idx="0">
                  <c:v>6</c:v>
                </c:pt>
              </c:numCache>
            </c:numRef>
          </c:val>
        </c:ser>
        <c:dLbls>
          <c:dLblPos val="inEnd"/>
          <c:showLegendKey val="0"/>
          <c:showVal val="1"/>
          <c:showCatName val="0"/>
          <c:showSerName val="0"/>
          <c:showPercent val="0"/>
          <c:showBubbleSize val="0"/>
        </c:dLbls>
        <c:gapWidth val="150"/>
        <c:axId val="59796480"/>
        <c:axId val="70869760"/>
      </c:barChart>
      <c:catAx>
        <c:axId val="59796480"/>
        <c:scaling>
          <c:orientation val="minMax"/>
        </c:scaling>
        <c:delete val="0"/>
        <c:axPos val="b"/>
        <c:majorTickMark val="none"/>
        <c:minorTickMark val="none"/>
        <c:tickLblPos val="nextTo"/>
        <c:txPr>
          <a:bodyPr/>
          <a:lstStyle/>
          <a:p>
            <a:pPr>
              <a:defRPr>
                <a:latin typeface="Arial Narrow" panose="020B0606020202030204" pitchFamily="34" charset="0"/>
              </a:defRPr>
            </a:pPr>
            <a:endParaRPr lang="en-US"/>
          </a:p>
        </c:txPr>
        <c:crossAx val="70869760"/>
        <c:crosses val="autoZero"/>
        <c:auto val="1"/>
        <c:lblAlgn val="ctr"/>
        <c:lblOffset val="100"/>
        <c:noMultiLvlLbl val="0"/>
      </c:catAx>
      <c:valAx>
        <c:axId val="70869760"/>
        <c:scaling>
          <c:orientation val="minMax"/>
        </c:scaling>
        <c:delete val="0"/>
        <c:axPos val="l"/>
        <c:majorGridlines/>
        <c:numFmt formatCode="General" sourceLinked="1"/>
        <c:majorTickMark val="none"/>
        <c:minorTickMark val="none"/>
        <c:tickLblPos val="nextTo"/>
        <c:crossAx val="59796480"/>
        <c:crosses val="autoZero"/>
        <c:crossBetween val="between"/>
      </c:valAx>
    </c:plotArea>
    <c:legend>
      <c:legendPos val="r"/>
      <c:overlay val="0"/>
      <c:txPr>
        <a:bodyPr/>
        <a:lstStyle/>
        <a:p>
          <a:pPr>
            <a:defRPr>
              <a:latin typeface="Arial Narrow" panose="020B0606020202030204"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Brehm</dc:creator>
  <cp:lastModifiedBy>Ashley Brehm</cp:lastModifiedBy>
  <cp:revision>2</cp:revision>
  <cp:lastPrinted>2015-12-02T13:49:00Z</cp:lastPrinted>
  <dcterms:created xsi:type="dcterms:W3CDTF">2016-02-26T15:22:00Z</dcterms:created>
  <dcterms:modified xsi:type="dcterms:W3CDTF">2016-02-26T15:22:00Z</dcterms:modified>
</cp:coreProperties>
</file>