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C07" w:rsidRPr="00C9397E" w:rsidRDefault="00187B0F" w:rsidP="0040728B">
      <w:pPr>
        <w:spacing w:before="600"/>
        <w:jc w:val="center"/>
        <w:rPr>
          <w:b/>
          <w:sz w:val="32"/>
          <w:szCs w:val="32"/>
        </w:rPr>
      </w:pPr>
      <w:r w:rsidRPr="00C9397E">
        <w:rPr>
          <w:b/>
          <w:sz w:val="32"/>
          <w:szCs w:val="32"/>
        </w:rPr>
        <w:t>YOUTH HOMELESS</w:t>
      </w:r>
      <w:r w:rsidR="00B02E58" w:rsidRPr="00C9397E">
        <w:rPr>
          <w:b/>
          <w:sz w:val="32"/>
          <w:szCs w:val="32"/>
        </w:rPr>
        <w:t>NESS</w:t>
      </w:r>
      <w:r w:rsidRPr="00C9397E">
        <w:rPr>
          <w:b/>
          <w:sz w:val="32"/>
          <w:szCs w:val="32"/>
        </w:rPr>
        <w:t xml:space="preserve"> IN HAMPDEN COUNTY</w:t>
      </w:r>
      <w:r w:rsidR="00AC4C07" w:rsidRPr="00C9397E">
        <w:rPr>
          <w:b/>
          <w:sz w:val="32"/>
          <w:szCs w:val="32"/>
        </w:rPr>
        <w:t xml:space="preserve">: </w:t>
      </w:r>
      <w:r w:rsidR="00AC4C07" w:rsidRPr="00C9397E">
        <w:rPr>
          <w:b/>
          <w:sz w:val="32"/>
          <w:szCs w:val="32"/>
        </w:rPr>
        <w:t>Youth Aged 18-24</w:t>
      </w:r>
    </w:p>
    <w:p w:rsidR="00AC4C07" w:rsidRPr="00C9397E" w:rsidRDefault="000C0353" w:rsidP="000C0353">
      <w:pPr>
        <w:spacing w:before="360"/>
        <w:rPr>
          <w:sz w:val="28"/>
          <w:szCs w:val="28"/>
        </w:rPr>
      </w:pPr>
      <w:r>
        <w:rPr>
          <w:b/>
          <w:sz w:val="28"/>
          <w:szCs w:val="28"/>
        </w:rPr>
        <w:t xml:space="preserve">     </w:t>
      </w:r>
      <w:r w:rsidR="00C9397E" w:rsidRPr="00C9397E">
        <w:rPr>
          <w:b/>
          <w:sz w:val="28"/>
          <w:szCs w:val="28"/>
        </w:rPr>
        <w:t>Measuring Youth Homelessness</w:t>
      </w:r>
    </w:p>
    <w:p w:rsidR="00AC4C07" w:rsidRPr="00AC4C07" w:rsidRDefault="00FC129D" w:rsidP="000C0353">
      <w:pPr>
        <w:spacing w:before="120"/>
        <w:ind w:left="720" w:right="630"/>
        <w:jc w:val="both"/>
        <w:rPr>
          <w:sz w:val="24"/>
          <w:szCs w:val="24"/>
        </w:rPr>
      </w:pPr>
      <w:r>
        <w:rPr>
          <w:sz w:val="24"/>
          <w:szCs w:val="24"/>
        </w:rPr>
        <w:t>It is difficult to know the full extent of youth homelessn</w:t>
      </w:r>
      <w:r w:rsidR="008930A8">
        <w:rPr>
          <w:sz w:val="24"/>
          <w:szCs w:val="24"/>
        </w:rPr>
        <w:t>ess, because many homeless young adults</w:t>
      </w:r>
      <w:r>
        <w:rPr>
          <w:sz w:val="24"/>
          <w:szCs w:val="24"/>
        </w:rPr>
        <w:t xml:space="preserve"> do not seek out services and some do not want to be found. The tables below provide the available data</w:t>
      </w:r>
      <w:r w:rsidR="008930A8">
        <w:rPr>
          <w:sz w:val="24"/>
          <w:szCs w:val="24"/>
        </w:rPr>
        <w:t xml:space="preserve"> about youth who are literally homeless and those who are housing insecure. There is little </w:t>
      </w:r>
      <w:r w:rsidR="008930A8">
        <w:rPr>
          <w:sz w:val="24"/>
          <w:szCs w:val="24"/>
        </w:rPr>
        <w:t xml:space="preserve">distinction between </w:t>
      </w:r>
      <w:r w:rsidR="008930A8">
        <w:rPr>
          <w:sz w:val="24"/>
          <w:szCs w:val="24"/>
        </w:rPr>
        <w:t xml:space="preserve">these two categories. </w:t>
      </w:r>
      <w:r w:rsidR="008930A8">
        <w:rPr>
          <w:sz w:val="24"/>
          <w:szCs w:val="24"/>
        </w:rPr>
        <w:t xml:space="preserve">Many </w:t>
      </w:r>
      <w:r w:rsidR="008930A8">
        <w:rPr>
          <w:sz w:val="24"/>
          <w:szCs w:val="24"/>
        </w:rPr>
        <w:t>cycle through these states, and the night of the count determines which category they are counted in.</w:t>
      </w:r>
    </w:p>
    <w:p w:rsidR="00B02E58" w:rsidRDefault="00B02E58" w:rsidP="000C0353">
      <w:pPr>
        <w:spacing w:after="0"/>
        <w:ind w:left="720"/>
        <w:rPr>
          <w:sz w:val="24"/>
          <w:szCs w:val="24"/>
        </w:rPr>
      </w:pPr>
      <w:r w:rsidRPr="00B02E58">
        <w:rPr>
          <w:b/>
          <w:sz w:val="24"/>
          <w:szCs w:val="24"/>
        </w:rPr>
        <w:t>Literal Homelessness</w:t>
      </w:r>
      <w:r w:rsidR="00AC4C07">
        <w:rPr>
          <w:b/>
          <w:sz w:val="24"/>
          <w:szCs w:val="24"/>
        </w:rPr>
        <w:t xml:space="preserve">: </w:t>
      </w:r>
      <w:r w:rsidR="00AC4C07">
        <w:rPr>
          <w:sz w:val="24"/>
          <w:szCs w:val="24"/>
        </w:rPr>
        <w:t xml:space="preserve">in shelter or </w:t>
      </w:r>
      <w:r>
        <w:rPr>
          <w:sz w:val="24"/>
          <w:szCs w:val="24"/>
        </w:rPr>
        <w:t>in a plac</w:t>
      </w:r>
      <w:r w:rsidR="00AC4C07">
        <w:rPr>
          <w:sz w:val="24"/>
          <w:szCs w:val="24"/>
        </w:rPr>
        <w:t>e not fit for human habitation</w:t>
      </w:r>
    </w:p>
    <w:tbl>
      <w:tblPr>
        <w:tblStyle w:val="PlainTable5"/>
        <w:tblW w:w="0" w:type="auto"/>
        <w:tblInd w:w="720" w:type="dxa"/>
        <w:tblLook w:val="04A0" w:firstRow="1" w:lastRow="0" w:firstColumn="1" w:lastColumn="0" w:noHBand="0" w:noVBand="1"/>
      </w:tblPr>
      <w:tblGrid>
        <w:gridCol w:w="5130"/>
        <w:gridCol w:w="1530"/>
        <w:gridCol w:w="1350"/>
        <w:gridCol w:w="1440"/>
      </w:tblGrid>
      <w:tr w:rsidR="00B02E58" w:rsidTr="000C035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130" w:type="dxa"/>
          </w:tcPr>
          <w:p w:rsidR="00B02E58" w:rsidRPr="000C0353" w:rsidRDefault="00B02E58" w:rsidP="000C0353">
            <w:pPr>
              <w:ind w:left="705"/>
              <w:rPr>
                <w:sz w:val="22"/>
              </w:rPr>
            </w:pPr>
          </w:p>
        </w:tc>
        <w:tc>
          <w:tcPr>
            <w:tcW w:w="1530" w:type="dxa"/>
          </w:tcPr>
          <w:p w:rsidR="00B02E58" w:rsidRPr="000C0353" w:rsidRDefault="00AC4C07" w:rsidP="00AC4C07">
            <w:pPr>
              <w:jc w:val="center"/>
              <w:cnfStyle w:val="100000000000" w:firstRow="1" w:lastRow="0" w:firstColumn="0" w:lastColumn="0" w:oddVBand="0" w:evenVBand="0" w:oddHBand="0" w:evenHBand="0" w:firstRowFirstColumn="0" w:firstRowLastColumn="0" w:lastRowFirstColumn="0" w:lastRowLastColumn="0"/>
              <w:rPr>
                <w:sz w:val="22"/>
              </w:rPr>
            </w:pPr>
            <w:r w:rsidRPr="000C0353">
              <w:rPr>
                <w:sz w:val="22"/>
              </w:rPr>
              <w:t>Individuals</w:t>
            </w:r>
          </w:p>
        </w:tc>
        <w:tc>
          <w:tcPr>
            <w:tcW w:w="1350" w:type="dxa"/>
          </w:tcPr>
          <w:p w:rsidR="00B02E58" w:rsidRPr="000C0353" w:rsidRDefault="00AC4C07" w:rsidP="00AC4C07">
            <w:pPr>
              <w:jc w:val="center"/>
              <w:cnfStyle w:val="100000000000" w:firstRow="1" w:lastRow="0" w:firstColumn="0" w:lastColumn="0" w:oddVBand="0" w:evenVBand="0" w:oddHBand="0" w:evenHBand="0" w:firstRowFirstColumn="0" w:firstRowLastColumn="0" w:lastRowFirstColumn="0" w:lastRowLastColumn="0"/>
              <w:rPr>
                <w:sz w:val="22"/>
              </w:rPr>
            </w:pPr>
            <w:r w:rsidRPr="000C0353">
              <w:rPr>
                <w:sz w:val="22"/>
              </w:rPr>
              <w:t>Parenting</w:t>
            </w:r>
          </w:p>
        </w:tc>
        <w:tc>
          <w:tcPr>
            <w:tcW w:w="1440" w:type="dxa"/>
          </w:tcPr>
          <w:p w:rsidR="00B02E58" w:rsidRPr="000C0353" w:rsidRDefault="00AC4C07" w:rsidP="00AC4C07">
            <w:pPr>
              <w:jc w:val="center"/>
              <w:cnfStyle w:val="100000000000" w:firstRow="1" w:lastRow="0" w:firstColumn="0" w:lastColumn="0" w:oddVBand="0" w:evenVBand="0" w:oddHBand="0" w:evenHBand="0" w:firstRowFirstColumn="0" w:firstRowLastColumn="0" w:lastRowFirstColumn="0" w:lastRowLastColumn="0"/>
              <w:rPr>
                <w:sz w:val="22"/>
              </w:rPr>
            </w:pPr>
            <w:r w:rsidRPr="000C0353">
              <w:rPr>
                <w:sz w:val="22"/>
              </w:rPr>
              <w:t>Total</w:t>
            </w:r>
          </w:p>
        </w:tc>
      </w:tr>
      <w:tr w:rsidR="00FC129D" w:rsidTr="000C0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rsidR="00FC129D" w:rsidRPr="000C0353" w:rsidRDefault="00FC129D" w:rsidP="008D26D8">
            <w:pPr>
              <w:jc w:val="left"/>
              <w:rPr>
                <w:sz w:val="22"/>
              </w:rPr>
            </w:pPr>
            <w:r w:rsidRPr="000C0353">
              <w:rPr>
                <w:sz w:val="22"/>
              </w:rPr>
              <w:t>At a point in time:</w:t>
            </w:r>
          </w:p>
        </w:tc>
        <w:tc>
          <w:tcPr>
            <w:tcW w:w="1530" w:type="dxa"/>
          </w:tcPr>
          <w:p w:rsidR="00FC129D" w:rsidRPr="000C0353" w:rsidRDefault="00FC129D" w:rsidP="00AC4C07">
            <w:pPr>
              <w:jc w:val="center"/>
              <w:cnfStyle w:val="000000100000" w:firstRow="0" w:lastRow="0" w:firstColumn="0" w:lastColumn="0" w:oddVBand="0" w:evenVBand="0" w:oddHBand="1" w:evenHBand="0" w:firstRowFirstColumn="0" w:firstRowLastColumn="0" w:lastRowFirstColumn="0" w:lastRowLastColumn="0"/>
            </w:pPr>
          </w:p>
        </w:tc>
        <w:tc>
          <w:tcPr>
            <w:tcW w:w="1350" w:type="dxa"/>
          </w:tcPr>
          <w:p w:rsidR="00FC129D" w:rsidRPr="000C0353" w:rsidRDefault="00FC129D" w:rsidP="00AC4C07">
            <w:pPr>
              <w:jc w:val="center"/>
              <w:cnfStyle w:val="000000100000" w:firstRow="0" w:lastRow="0" w:firstColumn="0" w:lastColumn="0" w:oddVBand="0" w:evenVBand="0" w:oddHBand="1" w:evenHBand="0" w:firstRowFirstColumn="0" w:firstRowLastColumn="0" w:lastRowFirstColumn="0" w:lastRowLastColumn="0"/>
            </w:pPr>
          </w:p>
        </w:tc>
        <w:tc>
          <w:tcPr>
            <w:tcW w:w="1440" w:type="dxa"/>
          </w:tcPr>
          <w:p w:rsidR="00FC129D" w:rsidRPr="000C0353" w:rsidRDefault="00FC129D" w:rsidP="00AC4C07">
            <w:pPr>
              <w:jc w:val="center"/>
              <w:cnfStyle w:val="000000100000" w:firstRow="0" w:lastRow="0" w:firstColumn="0" w:lastColumn="0" w:oddVBand="0" w:evenVBand="0" w:oddHBand="1" w:evenHBand="0" w:firstRowFirstColumn="0" w:firstRowLastColumn="0" w:lastRowFirstColumn="0" w:lastRowLastColumn="0"/>
            </w:pPr>
          </w:p>
        </w:tc>
      </w:tr>
      <w:tr w:rsidR="00B02E58" w:rsidTr="000C0353">
        <w:tc>
          <w:tcPr>
            <w:cnfStyle w:val="001000000000" w:firstRow="0" w:lastRow="0" w:firstColumn="1" w:lastColumn="0" w:oddVBand="0" w:evenVBand="0" w:oddHBand="0" w:evenHBand="0" w:firstRowFirstColumn="0" w:firstRowLastColumn="0" w:lastRowFirstColumn="0" w:lastRowLastColumn="0"/>
            <w:tcW w:w="5130" w:type="dxa"/>
          </w:tcPr>
          <w:p w:rsidR="00B02E58" w:rsidRPr="000C0353" w:rsidRDefault="00B02E58">
            <w:pPr>
              <w:rPr>
                <w:i w:val="0"/>
                <w:sz w:val="22"/>
              </w:rPr>
            </w:pPr>
            <w:r w:rsidRPr="000C0353">
              <w:rPr>
                <w:i w:val="0"/>
                <w:sz w:val="22"/>
              </w:rPr>
              <w:t>In shelter on a single night in January 2017</w:t>
            </w:r>
          </w:p>
        </w:tc>
        <w:tc>
          <w:tcPr>
            <w:tcW w:w="1530" w:type="dxa"/>
          </w:tcPr>
          <w:p w:rsidR="00B02E58" w:rsidRPr="000C0353" w:rsidRDefault="00AC4C07" w:rsidP="00AC4C07">
            <w:pPr>
              <w:jc w:val="center"/>
              <w:cnfStyle w:val="000000000000" w:firstRow="0" w:lastRow="0" w:firstColumn="0" w:lastColumn="0" w:oddVBand="0" w:evenVBand="0" w:oddHBand="0" w:evenHBand="0" w:firstRowFirstColumn="0" w:firstRowLastColumn="0" w:lastRowFirstColumn="0" w:lastRowLastColumn="0"/>
            </w:pPr>
            <w:r w:rsidRPr="000C0353">
              <w:t>25</w:t>
            </w:r>
          </w:p>
        </w:tc>
        <w:tc>
          <w:tcPr>
            <w:tcW w:w="1350" w:type="dxa"/>
          </w:tcPr>
          <w:p w:rsidR="00B02E58" w:rsidRPr="000C0353" w:rsidRDefault="00AC4C07" w:rsidP="00AC4C07">
            <w:pPr>
              <w:jc w:val="center"/>
              <w:cnfStyle w:val="000000000000" w:firstRow="0" w:lastRow="0" w:firstColumn="0" w:lastColumn="0" w:oddVBand="0" w:evenVBand="0" w:oddHBand="0" w:evenHBand="0" w:firstRowFirstColumn="0" w:firstRowLastColumn="0" w:lastRowFirstColumn="0" w:lastRowLastColumn="0"/>
            </w:pPr>
            <w:r w:rsidRPr="000C0353">
              <w:t>106</w:t>
            </w:r>
          </w:p>
        </w:tc>
        <w:tc>
          <w:tcPr>
            <w:tcW w:w="1440" w:type="dxa"/>
          </w:tcPr>
          <w:p w:rsidR="00B02E58" w:rsidRPr="000C0353" w:rsidRDefault="00AC4C07" w:rsidP="00AC4C07">
            <w:pPr>
              <w:jc w:val="center"/>
              <w:cnfStyle w:val="000000000000" w:firstRow="0" w:lastRow="0" w:firstColumn="0" w:lastColumn="0" w:oddVBand="0" w:evenVBand="0" w:oddHBand="0" w:evenHBand="0" w:firstRowFirstColumn="0" w:firstRowLastColumn="0" w:lastRowFirstColumn="0" w:lastRowLastColumn="0"/>
            </w:pPr>
            <w:r w:rsidRPr="000C0353">
              <w:t>131</w:t>
            </w:r>
          </w:p>
        </w:tc>
      </w:tr>
      <w:tr w:rsidR="00B02E58" w:rsidTr="000C0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rsidR="00B02E58" w:rsidRPr="000C0353" w:rsidRDefault="00B02E58">
            <w:pPr>
              <w:rPr>
                <w:i w:val="0"/>
                <w:sz w:val="22"/>
              </w:rPr>
            </w:pPr>
            <w:r w:rsidRPr="000C0353">
              <w:rPr>
                <w:i w:val="0"/>
                <w:sz w:val="22"/>
              </w:rPr>
              <w:t>Unsheltered on a single night in January 2017</w:t>
            </w:r>
          </w:p>
        </w:tc>
        <w:tc>
          <w:tcPr>
            <w:tcW w:w="1530" w:type="dxa"/>
          </w:tcPr>
          <w:p w:rsidR="00B02E58" w:rsidRPr="000C0353" w:rsidRDefault="00AC4C07" w:rsidP="00AC4C07">
            <w:pPr>
              <w:jc w:val="center"/>
              <w:cnfStyle w:val="000000100000" w:firstRow="0" w:lastRow="0" w:firstColumn="0" w:lastColumn="0" w:oddVBand="0" w:evenVBand="0" w:oddHBand="1" w:evenHBand="0" w:firstRowFirstColumn="0" w:firstRowLastColumn="0" w:lastRowFirstColumn="0" w:lastRowLastColumn="0"/>
            </w:pPr>
            <w:r w:rsidRPr="000C0353">
              <w:t>10</w:t>
            </w:r>
          </w:p>
        </w:tc>
        <w:tc>
          <w:tcPr>
            <w:tcW w:w="1350" w:type="dxa"/>
          </w:tcPr>
          <w:p w:rsidR="00B02E58" w:rsidRPr="000C0353" w:rsidRDefault="00AC4C07" w:rsidP="00AC4C07">
            <w:pPr>
              <w:jc w:val="center"/>
              <w:cnfStyle w:val="000000100000" w:firstRow="0" w:lastRow="0" w:firstColumn="0" w:lastColumn="0" w:oddVBand="0" w:evenVBand="0" w:oddHBand="1" w:evenHBand="0" w:firstRowFirstColumn="0" w:firstRowLastColumn="0" w:lastRowFirstColumn="0" w:lastRowLastColumn="0"/>
            </w:pPr>
            <w:r w:rsidRPr="000C0353">
              <w:t>0</w:t>
            </w:r>
          </w:p>
        </w:tc>
        <w:tc>
          <w:tcPr>
            <w:tcW w:w="1440" w:type="dxa"/>
          </w:tcPr>
          <w:p w:rsidR="00B02E58" w:rsidRPr="000C0353" w:rsidRDefault="00AC4C07" w:rsidP="00AC4C07">
            <w:pPr>
              <w:jc w:val="center"/>
              <w:cnfStyle w:val="000000100000" w:firstRow="0" w:lastRow="0" w:firstColumn="0" w:lastColumn="0" w:oddVBand="0" w:evenVBand="0" w:oddHBand="1" w:evenHBand="0" w:firstRowFirstColumn="0" w:firstRowLastColumn="0" w:lastRowFirstColumn="0" w:lastRowLastColumn="0"/>
            </w:pPr>
            <w:r w:rsidRPr="000C0353">
              <w:t>10</w:t>
            </w:r>
          </w:p>
        </w:tc>
      </w:tr>
      <w:tr w:rsidR="00324812" w:rsidTr="00657C7B">
        <w:tc>
          <w:tcPr>
            <w:cnfStyle w:val="001000000000" w:firstRow="0" w:lastRow="0" w:firstColumn="1" w:lastColumn="0" w:oddVBand="0" w:evenVBand="0" w:oddHBand="0" w:evenHBand="0" w:firstRowFirstColumn="0" w:firstRowLastColumn="0" w:lastRowFirstColumn="0" w:lastRowLastColumn="0"/>
            <w:tcW w:w="5130" w:type="dxa"/>
          </w:tcPr>
          <w:p w:rsidR="00324812" w:rsidRPr="000C0353" w:rsidRDefault="00324812" w:rsidP="008D26D8">
            <w:pPr>
              <w:rPr>
                <w:i w:val="0"/>
                <w:sz w:val="22"/>
              </w:rPr>
            </w:pPr>
            <w:r w:rsidRPr="000C0353">
              <w:rPr>
                <w:i w:val="0"/>
                <w:sz w:val="22"/>
              </w:rPr>
              <w:t>Youth Count May 2017</w:t>
            </w:r>
          </w:p>
        </w:tc>
        <w:tc>
          <w:tcPr>
            <w:tcW w:w="4320" w:type="dxa"/>
            <w:gridSpan w:val="3"/>
          </w:tcPr>
          <w:p w:rsidR="00324812" w:rsidRPr="000C0353" w:rsidRDefault="00324812" w:rsidP="00AC4C07">
            <w:pPr>
              <w:jc w:val="center"/>
              <w:cnfStyle w:val="000000000000" w:firstRow="0" w:lastRow="0" w:firstColumn="0" w:lastColumn="0" w:oddVBand="0" w:evenVBand="0" w:oddHBand="0" w:evenHBand="0" w:firstRowFirstColumn="0" w:firstRowLastColumn="0" w:lastRowFirstColumn="0" w:lastRowLastColumn="0"/>
            </w:pPr>
            <w:r>
              <w:t>Data not yet available</w:t>
            </w:r>
          </w:p>
        </w:tc>
      </w:tr>
      <w:tr w:rsidR="00FC129D" w:rsidTr="000C0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rsidR="00FC129D" w:rsidRPr="000C0353" w:rsidRDefault="00FC129D" w:rsidP="008D26D8">
            <w:pPr>
              <w:jc w:val="left"/>
              <w:rPr>
                <w:sz w:val="22"/>
              </w:rPr>
            </w:pPr>
            <w:r w:rsidRPr="000C0353">
              <w:rPr>
                <w:sz w:val="22"/>
              </w:rPr>
              <w:t>Over the course of a year:</w:t>
            </w:r>
          </w:p>
        </w:tc>
        <w:tc>
          <w:tcPr>
            <w:tcW w:w="1530" w:type="dxa"/>
          </w:tcPr>
          <w:p w:rsidR="00FC129D" w:rsidRPr="000C0353" w:rsidRDefault="00FC129D" w:rsidP="00AC4C07">
            <w:pPr>
              <w:jc w:val="center"/>
              <w:cnfStyle w:val="000000100000" w:firstRow="0" w:lastRow="0" w:firstColumn="0" w:lastColumn="0" w:oddVBand="0" w:evenVBand="0" w:oddHBand="1" w:evenHBand="0" w:firstRowFirstColumn="0" w:firstRowLastColumn="0" w:lastRowFirstColumn="0" w:lastRowLastColumn="0"/>
            </w:pPr>
          </w:p>
        </w:tc>
        <w:tc>
          <w:tcPr>
            <w:tcW w:w="1350" w:type="dxa"/>
          </w:tcPr>
          <w:p w:rsidR="00FC129D" w:rsidRPr="000C0353" w:rsidRDefault="00FC129D" w:rsidP="00AC4C07">
            <w:pPr>
              <w:jc w:val="center"/>
              <w:cnfStyle w:val="000000100000" w:firstRow="0" w:lastRow="0" w:firstColumn="0" w:lastColumn="0" w:oddVBand="0" w:evenVBand="0" w:oddHBand="1" w:evenHBand="0" w:firstRowFirstColumn="0" w:firstRowLastColumn="0" w:lastRowFirstColumn="0" w:lastRowLastColumn="0"/>
            </w:pPr>
          </w:p>
        </w:tc>
        <w:tc>
          <w:tcPr>
            <w:tcW w:w="1440" w:type="dxa"/>
          </w:tcPr>
          <w:p w:rsidR="00FC129D" w:rsidRPr="000C0353" w:rsidRDefault="00FC129D" w:rsidP="00AC4C07">
            <w:pPr>
              <w:jc w:val="center"/>
              <w:cnfStyle w:val="000000100000" w:firstRow="0" w:lastRow="0" w:firstColumn="0" w:lastColumn="0" w:oddVBand="0" w:evenVBand="0" w:oddHBand="1" w:evenHBand="0" w:firstRowFirstColumn="0" w:firstRowLastColumn="0" w:lastRowFirstColumn="0" w:lastRowLastColumn="0"/>
            </w:pPr>
          </w:p>
        </w:tc>
      </w:tr>
      <w:tr w:rsidR="000C0353" w:rsidTr="000C0353">
        <w:tc>
          <w:tcPr>
            <w:cnfStyle w:val="001000000000" w:firstRow="0" w:lastRow="0" w:firstColumn="1" w:lastColumn="0" w:oddVBand="0" w:evenVBand="0" w:oddHBand="0" w:evenHBand="0" w:firstRowFirstColumn="0" w:firstRowLastColumn="0" w:lastRowFirstColumn="0" w:lastRowLastColumn="0"/>
            <w:tcW w:w="5130" w:type="dxa"/>
          </w:tcPr>
          <w:p w:rsidR="00B02E58" w:rsidRPr="000C0353" w:rsidRDefault="00B02E58">
            <w:pPr>
              <w:rPr>
                <w:i w:val="0"/>
                <w:sz w:val="22"/>
              </w:rPr>
            </w:pPr>
            <w:r w:rsidRPr="000C0353">
              <w:rPr>
                <w:i w:val="0"/>
                <w:sz w:val="22"/>
              </w:rPr>
              <w:t xml:space="preserve">In </w:t>
            </w:r>
            <w:proofErr w:type="gramStart"/>
            <w:r w:rsidRPr="000C0353">
              <w:rPr>
                <w:i w:val="0"/>
                <w:sz w:val="22"/>
              </w:rPr>
              <w:t>shelter</w:t>
            </w:r>
            <w:proofErr w:type="gramEnd"/>
            <w:r w:rsidRPr="000C0353">
              <w:rPr>
                <w:i w:val="0"/>
                <w:sz w:val="22"/>
              </w:rPr>
              <w:t xml:space="preserve"> </w:t>
            </w:r>
            <w:r w:rsidR="008D26D8" w:rsidRPr="000C0353">
              <w:rPr>
                <w:i w:val="0"/>
                <w:sz w:val="22"/>
              </w:rPr>
              <w:t>sometime during fiscal year 2015-2016</w:t>
            </w:r>
          </w:p>
        </w:tc>
        <w:tc>
          <w:tcPr>
            <w:tcW w:w="1530" w:type="dxa"/>
          </w:tcPr>
          <w:p w:rsidR="00B02E58" w:rsidRPr="000C0353" w:rsidRDefault="00AC4C07" w:rsidP="00AC4C07">
            <w:pPr>
              <w:jc w:val="center"/>
              <w:cnfStyle w:val="000000000000" w:firstRow="0" w:lastRow="0" w:firstColumn="0" w:lastColumn="0" w:oddVBand="0" w:evenVBand="0" w:oddHBand="0" w:evenHBand="0" w:firstRowFirstColumn="0" w:firstRowLastColumn="0" w:lastRowFirstColumn="0" w:lastRowLastColumn="0"/>
            </w:pPr>
            <w:r w:rsidRPr="000C0353">
              <w:t>174</w:t>
            </w:r>
          </w:p>
        </w:tc>
        <w:tc>
          <w:tcPr>
            <w:tcW w:w="1350" w:type="dxa"/>
          </w:tcPr>
          <w:p w:rsidR="00B02E58" w:rsidRPr="000C0353" w:rsidRDefault="00AC4C07" w:rsidP="00AC4C07">
            <w:pPr>
              <w:jc w:val="center"/>
              <w:cnfStyle w:val="000000000000" w:firstRow="0" w:lastRow="0" w:firstColumn="0" w:lastColumn="0" w:oddVBand="0" w:evenVBand="0" w:oddHBand="0" w:evenHBand="0" w:firstRowFirstColumn="0" w:firstRowLastColumn="0" w:lastRowFirstColumn="0" w:lastRowLastColumn="0"/>
            </w:pPr>
            <w:r w:rsidRPr="000C0353">
              <w:t>431</w:t>
            </w:r>
          </w:p>
        </w:tc>
        <w:tc>
          <w:tcPr>
            <w:tcW w:w="1440" w:type="dxa"/>
          </w:tcPr>
          <w:p w:rsidR="00B02E58" w:rsidRPr="000C0353" w:rsidRDefault="00AC4C07" w:rsidP="00AC4C07">
            <w:pPr>
              <w:jc w:val="center"/>
              <w:cnfStyle w:val="000000000000" w:firstRow="0" w:lastRow="0" w:firstColumn="0" w:lastColumn="0" w:oddVBand="0" w:evenVBand="0" w:oddHBand="0" w:evenHBand="0" w:firstRowFirstColumn="0" w:firstRowLastColumn="0" w:lastRowFirstColumn="0" w:lastRowLastColumn="0"/>
            </w:pPr>
            <w:r w:rsidRPr="000C0353">
              <w:t>605</w:t>
            </w:r>
          </w:p>
        </w:tc>
      </w:tr>
    </w:tbl>
    <w:p w:rsidR="00B02E58" w:rsidRPr="00FC129D" w:rsidRDefault="00B02E58" w:rsidP="000C0353">
      <w:pPr>
        <w:spacing w:before="240" w:after="0"/>
        <w:ind w:left="720"/>
        <w:rPr>
          <w:sz w:val="24"/>
          <w:szCs w:val="24"/>
        </w:rPr>
      </w:pPr>
      <w:r>
        <w:rPr>
          <w:b/>
          <w:sz w:val="24"/>
          <w:szCs w:val="24"/>
        </w:rPr>
        <w:t>Housing Insecure</w:t>
      </w:r>
      <w:r w:rsidR="00FC129D">
        <w:rPr>
          <w:b/>
          <w:sz w:val="24"/>
          <w:szCs w:val="24"/>
        </w:rPr>
        <w:t xml:space="preserve">: </w:t>
      </w:r>
      <w:r w:rsidR="00FC129D">
        <w:rPr>
          <w:sz w:val="24"/>
          <w:szCs w:val="24"/>
        </w:rPr>
        <w:t>couch-surfing, doubled up, in substandard housing, at campgrounds, etc.</w:t>
      </w:r>
    </w:p>
    <w:tbl>
      <w:tblPr>
        <w:tblStyle w:val="PlainTable5"/>
        <w:tblW w:w="0" w:type="auto"/>
        <w:tblInd w:w="720" w:type="dxa"/>
        <w:tblLook w:val="0480" w:firstRow="0" w:lastRow="0" w:firstColumn="1" w:lastColumn="0" w:noHBand="0" w:noVBand="1"/>
      </w:tblPr>
      <w:tblGrid>
        <w:gridCol w:w="5130"/>
        <w:gridCol w:w="1530"/>
        <w:gridCol w:w="1350"/>
        <w:gridCol w:w="1440"/>
      </w:tblGrid>
      <w:tr w:rsidR="00AC4C07" w:rsidTr="000C0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rsidR="00AC4C07" w:rsidRPr="000C0353" w:rsidRDefault="008930A8" w:rsidP="008D26D8">
            <w:pPr>
              <w:jc w:val="left"/>
              <w:rPr>
                <w:sz w:val="22"/>
              </w:rPr>
            </w:pPr>
            <w:r w:rsidRPr="000C0353">
              <w:rPr>
                <w:sz w:val="22"/>
              </w:rPr>
              <w:t>At a point in time:</w:t>
            </w:r>
          </w:p>
        </w:tc>
        <w:tc>
          <w:tcPr>
            <w:tcW w:w="1530" w:type="dxa"/>
          </w:tcPr>
          <w:p w:rsidR="00AC4C07" w:rsidRPr="000C0353" w:rsidRDefault="00AC4C07">
            <w:pPr>
              <w:cnfStyle w:val="000000100000" w:firstRow="0" w:lastRow="0" w:firstColumn="0" w:lastColumn="0" w:oddVBand="0" w:evenVBand="0" w:oddHBand="1" w:evenHBand="0" w:firstRowFirstColumn="0" w:firstRowLastColumn="0" w:lastRowFirstColumn="0" w:lastRowLastColumn="0"/>
              <w:rPr>
                <w:b/>
              </w:rPr>
            </w:pPr>
          </w:p>
        </w:tc>
        <w:tc>
          <w:tcPr>
            <w:tcW w:w="1350" w:type="dxa"/>
          </w:tcPr>
          <w:p w:rsidR="00AC4C07" w:rsidRPr="000C0353" w:rsidRDefault="00AC4C07">
            <w:pPr>
              <w:cnfStyle w:val="000000100000" w:firstRow="0" w:lastRow="0" w:firstColumn="0" w:lastColumn="0" w:oddVBand="0" w:evenVBand="0" w:oddHBand="1" w:evenHBand="0" w:firstRowFirstColumn="0" w:firstRowLastColumn="0" w:lastRowFirstColumn="0" w:lastRowLastColumn="0"/>
              <w:rPr>
                <w:b/>
              </w:rPr>
            </w:pPr>
          </w:p>
        </w:tc>
        <w:tc>
          <w:tcPr>
            <w:tcW w:w="1440" w:type="dxa"/>
          </w:tcPr>
          <w:p w:rsidR="00AC4C07" w:rsidRPr="000C0353" w:rsidRDefault="00AC4C07">
            <w:pPr>
              <w:cnfStyle w:val="000000100000" w:firstRow="0" w:lastRow="0" w:firstColumn="0" w:lastColumn="0" w:oddVBand="0" w:evenVBand="0" w:oddHBand="1" w:evenHBand="0" w:firstRowFirstColumn="0" w:firstRowLastColumn="0" w:lastRowFirstColumn="0" w:lastRowLastColumn="0"/>
              <w:rPr>
                <w:b/>
              </w:rPr>
            </w:pPr>
          </w:p>
        </w:tc>
        <w:bookmarkStart w:id="0" w:name="_GoBack"/>
        <w:bookmarkEnd w:id="0"/>
      </w:tr>
      <w:tr w:rsidR="00324812" w:rsidTr="000C4FBB">
        <w:tc>
          <w:tcPr>
            <w:cnfStyle w:val="001000000000" w:firstRow="0" w:lastRow="0" w:firstColumn="1" w:lastColumn="0" w:oddVBand="0" w:evenVBand="0" w:oddHBand="0" w:evenHBand="0" w:firstRowFirstColumn="0" w:firstRowLastColumn="0" w:lastRowFirstColumn="0" w:lastRowLastColumn="0"/>
            <w:tcW w:w="5130" w:type="dxa"/>
          </w:tcPr>
          <w:p w:rsidR="00324812" w:rsidRPr="000C0353" w:rsidRDefault="00324812">
            <w:pPr>
              <w:rPr>
                <w:i w:val="0"/>
                <w:sz w:val="22"/>
              </w:rPr>
            </w:pPr>
            <w:r w:rsidRPr="000C0353">
              <w:rPr>
                <w:i w:val="0"/>
                <w:sz w:val="22"/>
              </w:rPr>
              <w:t>Youth Count May 2017</w:t>
            </w:r>
          </w:p>
        </w:tc>
        <w:tc>
          <w:tcPr>
            <w:tcW w:w="4320" w:type="dxa"/>
            <w:gridSpan w:val="3"/>
          </w:tcPr>
          <w:p w:rsidR="00324812" w:rsidRPr="000C0353" w:rsidRDefault="00324812" w:rsidP="007C40F4">
            <w:pPr>
              <w:jc w:val="center"/>
              <w:cnfStyle w:val="000000000000" w:firstRow="0" w:lastRow="0" w:firstColumn="0" w:lastColumn="0" w:oddVBand="0" w:evenVBand="0" w:oddHBand="0" w:evenHBand="0" w:firstRowFirstColumn="0" w:firstRowLastColumn="0" w:lastRowFirstColumn="0" w:lastRowLastColumn="0"/>
            </w:pPr>
            <w:r>
              <w:t>Data not yet available</w:t>
            </w:r>
          </w:p>
        </w:tc>
      </w:tr>
      <w:tr w:rsidR="008930A8" w:rsidTr="000C0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rsidR="008930A8" w:rsidRPr="000C0353" w:rsidRDefault="008930A8" w:rsidP="008930A8">
            <w:pPr>
              <w:jc w:val="left"/>
              <w:rPr>
                <w:sz w:val="22"/>
              </w:rPr>
            </w:pPr>
            <w:r w:rsidRPr="000C0353">
              <w:rPr>
                <w:sz w:val="22"/>
              </w:rPr>
              <w:t>In school system during school year:</w:t>
            </w:r>
          </w:p>
        </w:tc>
        <w:tc>
          <w:tcPr>
            <w:tcW w:w="1530" w:type="dxa"/>
          </w:tcPr>
          <w:p w:rsidR="008930A8" w:rsidRPr="000C0353" w:rsidRDefault="008930A8" w:rsidP="008930A8">
            <w:pPr>
              <w:cnfStyle w:val="000000100000" w:firstRow="0" w:lastRow="0" w:firstColumn="0" w:lastColumn="0" w:oddVBand="0" w:evenVBand="0" w:oddHBand="1" w:evenHBand="0" w:firstRowFirstColumn="0" w:firstRowLastColumn="0" w:lastRowFirstColumn="0" w:lastRowLastColumn="0"/>
              <w:rPr>
                <w:b/>
              </w:rPr>
            </w:pPr>
          </w:p>
        </w:tc>
        <w:tc>
          <w:tcPr>
            <w:tcW w:w="1350" w:type="dxa"/>
          </w:tcPr>
          <w:p w:rsidR="008930A8" w:rsidRPr="000C0353" w:rsidRDefault="008930A8" w:rsidP="008930A8">
            <w:pPr>
              <w:cnfStyle w:val="000000100000" w:firstRow="0" w:lastRow="0" w:firstColumn="0" w:lastColumn="0" w:oddVBand="0" w:evenVBand="0" w:oddHBand="1" w:evenHBand="0" w:firstRowFirstColumn="0" w:firstRowLastColumn="0" w:lastRowFirstColumn="0" w:lastRowLastColumn="0"/>
              <w:rPr>
                <w:b/>
              </w:rPr>
            </w:pPr>
          </w:p>
        </w:tc>
        <w:tc>
          <w:tcPr>
            <w:tcW w:w="1440" w:type="dxa"/>
          </w:tcPr>
          <w:p w:rsidR="008930A8" w:rsidRPr="000C0353" w:rsidRDefault="008930A8" w:rsidP="008930A8">
            <w:pPr>
              <w:cnfStyle w:val="000000100000" w:firstRow="0" w:lastRow="0" w:firstColumn="0" w:lastColumn="0" w:oddVBand="0" w:evenVBand="0" w:oddHBand="1" w:evenHBand="0" w:firstRowFirstColumn="0" w:firstRowLastColumn="0" w:lastRowFirstColumn="0" w:lastRowLastColumn="0"/>
              <w:rPr>
                <w:b/>
              </w:rPr>
            </w:pPr>
          </w:p>
        </w:tc>
      </w:tr>
      <w:tr w:rsidR="008930A8" w:rsidTr="000C0353">
        <w:tc>
          <w:tcPr>
            <w:cnfStyle w:val="001000000000" w:firstRow="0" w:lastRow="0" w:firstColumn="1" w:lastColumn="0" w:oddVBand="0" w:evenVBand="0" w:oddHBand="0" w:evenHBand="0" w:firstRowFirstColumn="0" w:firstRowLastColumn="0" w:lastRowFirstColumn="0" w:lastRowLastColumn="0"/>
            <w:tcW w:w="5130" w:type="dxa"/>
          </w:tcPr>
          <w:p w:rsidR="008930A8" w:rsidRPr="000C0353" w:rsidRDefault="008930A8" w:rsidP="008930A8">
            <w:pPr>
              <w:rPr>
                <w:i w:val="0"/>
                <w:sz w:val="22"/>
              </w:rPr>
            </w:pPr>
            <w:r w:rsidRPr="000C0353">
              <w:rPr>
                <w:i w:val="0"/>
                <w:sz w:val="22"/>
              </w:rPr>
              <w:t>Unaccompanied youth 2016-17</w:t>
            </w:r>
          </w:p>
        </w:tc>
        <w:tc>
          <w:tcPr>
            <w:tcW w:w="1530" w:type="dxa"/>
          </w:tcPr>
          <w:p w:rsidR="008930A8" w:rsidRPr="000C0353" w:rsidRDefault="008930A8" w:rsidP="008930A8">
            <w:pPr>
              <w:cnfStyle w:val="000000000000" w:firstRow="0" w:lastRow="0" w:firstColumn="0" w:lastColumn="0" w:oddVBand="0" w:evenVBand="0" w:oddHBand="0" w:evenHBand="0" w:firstRowFirstColumn="0" w:firstRowLastColumn="0" w:lastRowFirstColumn="0" w:lastRowLastColumn="0"/>
              <w:rPr>
                <w:b/>
              </w:rPr>
            </w:pPr>
          </w:p>
        </w:tc>
        <w:tc>
          <w:tcPr>
            <w:tcW w:w="1350" w:type="dxa"/>
          </w:tcPr>
          <w:p w:rsidR="008930A8" w:rsidRPr="000C0353" w:rsidRDefault="008930A8" w:rsidP="008930A8">
            <w:pPr>
              <w:cnfStyle w:val="000000000000" w:firstRow="0" w:lastRow="0" w:firstColumn="0" w:lastColumn="0" w:oddVBand="0" w:evenVBand="0" w:oddHBand="0" w:evenHBand="0" w:firstRowFirstColumn="0" w:firstRowLastColumn="0" w:lastRowFirstColumn="0" w:lastRowLastColumn="0"/>
              <w:rPr>
                <w:b/>
              </w:rPr>
            </w:pPr>
          </w:p>
        </w:tc>
        <w:tc>
          <w:tcPr>
            <w:tcW w:w="1440" w:type="dxa"/>
          </w:tcPr>
          <w:p w:rsidR="008930A8" w:rsidRPr="000C0353" w:rsidRDefault="008930A8" w:rsidP="008930A8">
            <w:pPr>
              <w:jc w:val="center"/>
              <w:cnfStyle w:val="000000000000" w:firstRow="0" w:lastRow="0" w:firstColumn="0" w:lastColumn="0" w:oddVBand="0" w:evenVBand="0" w:oddHBand="0" w:evenHBand="0" w:firstRowFirstColumn="0" w:firstRowLastColumn="0" w:lastRowFirstColumn="0" w:lastRowLastColumn="0"/>
            </w:pPr>
            <w:r w:rsidRPr="000C0353">
              <w:t>62</w:t>
            </w:r>
          </w:p>
        </w:tc>
      </w:tr>
    </w:tbl>
    <w:p w:rsidR="008D26D8" w:rsidRDefault="000C0353" w:rsidP="008930A8">
      <w:pPr>
        <w:spacing w:before="360"/>
        <w:rPr>
          <w:b/>
          <w:sz w:val="24"/>
          <w:szCs w:val="24"/>
        </w:rPr>
      </w:pPr>
      <w:r>
        <w:rPr>
          <w:b/>
          <w:sz w:val="28"/>
          <w:szCs w:val="28"/>
        </w:rPr>
        <w:t xml:space="preserve">     </w:t>
      </w:r>
      <w:r w:rsidR="00C9397E">
        <w:rPr>
          <w:b/>
          <w:sz w:val="28"/>
          <w:szCs w:val="28"/>
        </w:rPr>
        <w:t>Causes o</w:t>
      </w:r>
      <w:r w:rsidR="00C9397E" w:rsidRPr="00C9397E">
        <w:rPr>
          <w:b/>
          <w:sz w:val="28"/>
          <w:szCs w:val="28"/>
        </w:rPr>
        <w:t>f Youth Homelessness</w:t>
      </w:r>
      <w:r w:rsidR="008D26D8">
        <w:rPr>
          <w:rStyle w:val="FootnoteReference"/>
          <w:b/>
          <w:sz w:val="24"/>
          <w:szCs w:val="24"/>
        </w:rPr>
        <w:footnoteReference w:id="1"/>
      </w:r>
    </w:p>
    <w:p w:rsidR="00FC129D" w:rsidRPr="008D26D8" w:rsidRDefault="00FC129D" w:rsidP="000C0353">
      <w:pPr>
        <w:pStyle w:val="ListParagraph"/>
        <w:numPr>
          <w:ilvl w:val="0"/>
          <w:numId w:val="1"/>
        </w:numPr>
        <w:spacing w:before="120" w:after="120"/>
        <w:ind w:left="1080" w:right="630"/>
        <w:jc w:val="both"/>
        <w:rPr>
          <w:b/>
          <w:sz w:val="24"/>
          <w:szCs w:val="24"/>
        </w:rPr>
      </w:pPr>
      <w:r w:rsidRPr="008D26D8">
        <w:rPr>
          <w:b/>
          <w:sz w:val="24"/>
          <w:szCs w:val="24"/>
        </w:rPr>
        <w:t>Family instability</w:t>
      </w:r>
      <w:r w:rsidRPr="008D26D8">
        <w:rPr>
          <w:sz w:val="24"/>
          <w:szCs w:val="24"/>
        </w:rPr>
        <w:t>, including child abuse and/or neglect, domestic violence, parental substance abuse, and family conflict – including conflict over sexual orientation or gender identity.</w:t>
      </w:r>
    </w:p>
    <w:p w:rsidR="008D26D8" w:rsidRPr="008D26D8" w:rsidRDefault="008D26D8" w:rsidP="000C0353">
      <w:pPr>
        <w:pStyle w:val="ListParagraph"/>
        <w:numPr>
          <w:ilvl w:val="0"/>
          <w:numId w:val="1"/>
        </w:numPr>
        <w:spacing w:before="120"/>
        <w:ind w:left="1080" w:right="630"/>
        <w:jc w:val="both"/>
        <w:rPr>
          <w:b/>
          <w:sz w:val="24"/>
          <w:szCs w:val="24"/>
        </w:rPr>
      </w:pPr>
      <w:r w:rsidRPr="008D26D8">
        <w:rPr>
          <w:b/>
        </w:rPr>
        <w:t>System involvement</w:t>
      </w:r>
      <w:r>
        <w:t xml:space="preserve">, including with the child welfare system, where a high percentage of youth age out of foster care without </w:t>
      </w:r>
      <w:proofErr w:type="gramStart"/>
      <w:r>
        <w:t>a strong support</w:t>
      </w:r>
      <w:proofErr w:type="gramEnd"/>
      <w:r>
        <w:t xml:space="preserve"> network in place and end up homeless, and with the juvenile justice system, where a high percentage of youth are released from incarceration only to become homeless.</w:t>
      </w:r>
    </w:p>
    <w:p w:rsidR="008D26D8" w:rsidRPr="008D26D8" w:rsidRDefault="008D26D8" w:rsidP="000C0353">
      <w:pPr>
        <w:pStyle w:val="ListParagraph"/>
        <w:numPr>
          <w:ilvl w:val="0"/>
          <w:numId w:val="1"/>
        </w:numPr>
        <w:spacing w:before="120"/>
        <w:ind w:left="1080" w:right="630"/>
        <w:jc w:val="both"/>
        <w:rPr>
          <w:b/>
          <w:sz w:val="24"/>
          <w:szCs w:val="24"/>
        </w:rPr>
      </w:pPr>
      <w:r w:rsidRPr="008D26D8">
        <w:rPr>
          <w:b/>
        </w:rPr>
        <w:t>Residential instability</w:t>
      </w:r>
      <w:r>
        <w:t>, usually due to economic issues. Youth may become homeless with their families but may be forced to separate because of shelter, transitional housin</w:t>
      </w:r>
      <w:r>
        <w:t>g, or child welfare policies.</w:t>
      </w:r>
      <w:r>
        <w:t xml:space="preserve"> In other cases, households may ask youth to leave at age 18 because of a lack of financial resources to support them or a cultural expectation that children will leave the family home at age 18.</w:t>
      </w:r>
    </w:p>
    <w:p w:rsidR="008D26D8" w:rsidRPr="008D26D8" w:rsidRDefault="008D26D8" w:rsidP="000C0353">
      <w:pPr>
        <w:pStyle w:val="ListParagraph"/>
        <w:numPr>
          <w:ilvl w:val="0"/>
          <w:numId w:val="1"/>
        </w:numPr>
        <w:spacing w:before="120"/>
        <w:ind w:left="1080" w:right="630"/>
        <w:jc w:val="both"/>
        <w:rPr>
          <w:b/>
          <w:sz w:val="24"/>
          <w:szCs w:val="24"/>
        </w:rPr>
      </w:pPr>
      <w:r w:rsidRPr="008D26D8">
        <w:rPr>
          <w:b/>
        </w:rPr>
        <w:t>Extreme disconnection from education, employment, and support networks</w:t>
      </w:r>
      <w:r>
        <w:t>, often resulting from one or more of the situations mentioned above.</w:t>
      </w:r>
    </w:p>
    <w:p w:rsidR="000C0353" w:rsidRDefault="000C0353" w:rsidP="000C0353">
      <w:pPr>
        <w:ind w:right="630"/>
        <w:rPr>
          <w:b/>
          <w:sz w:val="28"/>
          <w:szCs w:val="28"/>
        </w:rPr>
      </w:pPr>
      <w:r>
        <w:rPr>
          <w:b/>
          <w:sz w:val="28"/>
          <w:szCs w:val="28"/>
        </w:rPr>
        <w:br w:type="page"/>
      </w:r>
    </w:p>
    <w:p w:rsidR="00C9397E" w:rsidRPr="00C9397E" w:rsidRDefault="000C0353">
      <w:pPr>
        <w:rPr>
          <w:b/>
          <w:sz w:val="28"/>
          <w:szCs w:val="28"/>
        </w:rPr>
      </w:pPr>
      <w:r>
        <w:rPr>
          <w:b/>
          <w:sz w:val="28"/>
          <w:szCs w:val="28"/>
        </w:rPr>
        <w:lastRenderedPageBreak/>
        <w:t xml:space="preserve">     </w:t>
      </w:r>
      <w:r w:rsidR="00C9397E" w:rsidRPr="00C9397E">
        <w:rPr>
          <w:b/>
          <w:sz w:val="28"/>
          <w:szCs w:val="28"/>
        </w:rPr>
        <w:t xml:space="preserve">Populations in Focus </w:t>
      </w:r>
    </w:p>
    <w:p w:rsidR="00C9397E" w:rsidRDefault="00C9397E">
      <w:pPr>
        <w:sectPr w:rsidR="00C9397E" w:rsidSect="000C0353">
          <w:pgSz w:w="12240" w:h="15840"/>
          <w:pgMar w:top="720" w:right="720" w:bottom="720" w:left="720" w:header="720" w:footer="720" w:gutter="0"/>
          <w:cols w:space="720"/>
          <w:docGrid w:linePitch="360"/>
        </w:sectPr>
      </w:pPr>
    </w:p>
    <w:p w:rsidR="00C9397E" w:rsidRPr="00C9397E" w:rsidRDefault="00C9397E" w:rsidP="000C0353">
      <w:pPr>
        <w:spacing w:after="0"/>
        <w:jc w:val="both"/>
        <w:rPr>
          <w:b/>
          <w:sz w:val="24"/>
          <w:szCs w:val="24"/>
        </w:rPr>
      </w:pPr>
      <w:r w:rsidRPr="00C9397E">
        <w:rPr>
          <w:b/>
          <w:sz w:val="24"/>
          <w:szCs w:val="24"/>
        </w:rPr>
        <w:t xml:space="preserve">LGBTQ Youth </w:t>
      </w:r>
    </w:p>
    <w:p w:rsidR="00C9397E" w:rsidRPr="000C0353" w:rsidRDefault="00C9397E" w:rsidP="00C9397E">
      <w:pPr>
        <w:jc w:val="both"/>
      </w:pPr>
      <w:r w:rsidRPr="000C0353">
        <w:t>Nationally, lesbian, gay, bisexual, transgender and questioning (LGBTQ) youth account for 30% to 40% of all youth experiencing homelessness but only 7% of the national y</w:t>
      </w:r>
      <w:r w:rsidRPr="000C0353">
        <w:t>outh population.</w:t>
      </w:r>
      <w:r w:rsidRPr="000C0353">
        <w:rPr>
          <w:rStyle w:val="FootnoteReference"/>
        </w:rPr>
        <w:footnoteReference w:id="2"/>
      </w:r>
      <w:r w:rsidRPr="000C0353">
        <w:t xml:space="preserve"> </w:t>
      </w:r>
      <w:r w:rsidRPr="000C0353">
        <w:t xml:space="preserve">LGBTQ youth are most likely to become homeless because of family conflict and rejection. While experiencing homelessness, LGBTQ youth are at greater risk of victimization for sexual exploitation and trafficking, sexually transmitted diseases, and developing mental health problems, including suicidal ideation and attempts. </w:t>
      </w:r>
    </w:p>
    <w:p w:rsidR="00C9397E" w:rsidRPr="00C9397E" w:rsidRDefault="00C9397E" w:rsidP="000C0353">
      <w:pPr>
        <w:spacing w:after="0"/>
        <w:jc w:val="both"/>
        <w:rPr>
          <w:b/>
          <w:sz w:val="24"/>
          <w:szCs w:val="24"/>
        </w:rPr>
      </w:pPr>
      <w:r w:rsidRPr="00C9397E">
        <w:rPr>
          <w:b/>
          <w:sz w:val="24"/>
          <w:szCs w:val="24"/>
        </w:rPr>
        <w:t xml:space="preserve">Justice System Involved Youth </w:t>
      </w:r>
    </w:p>
    <w:p w:rsidR="00C9397E" w:rsidRDefault="00C9397E" w:rsidP="00C9397E">
      <w:pPr>
        <w:jc w:val="both"/>
      </w:pPr>
      <w:r>
        <w:t>Youth who have run away or been homeless are involved in juvenile justice systems at high rates. Nationally, 6% of youth in Basic Center Programs (aged 18 and under) and 9% of youth in Transitional Living Programs (ages 16 through 22) were involved in juvenile jus</w:t>
      </w:r>
      <w:r>
        <w:t>tice systems.</w:t>
      </w:r>
      <w:r w:rsidR="000C0353">
        <w:rPr>
          <w:rStyle w:val="FootnoteReference"/>
        </w:rPr>
        <w:footnoteReference w:id="3"/>
      </w:r>
      <w:r>
        <w:t xml:space="preserve"> Youth</w:t>
      </w:r>
      <w:r>
        <w:t xml:space="preserve"> experiencing homelessness </w:t>
      </w:r>
      <w:r>
        <w:t xml:space="preserve">report engaging in a variety of high-risk and illegal behaviors to survive, such as theft, property offenses, drug possession/ use/distribution, and prostitution, which can ultimately lead to arrest and justice system involvement. While homelessness is a risk factor for justice system involvement, being involved in the justice system is also a risk factor for homelessness. Justice-involved youth may be returning to communities and home settings that are unstable, and youth may lack the education or job skills to maintain employment necessary to achieve stability. In addition, youth may face barriers to housing because of their conviction or adjudication. </w:t>
      </w:r>
    </w:p>
    <w:p w:rsidR="00C9397E" w:rsidRPr="00C9397E" w:rsidRDefault="00C9397E" w:rsidP="000C0353">
      <w:pPr>
        <w:spacing w:after="0"/>
        <w:jc w:val="both"/>
        <w:rPr>
          <w:b/>
          <w:sz w:val="24"/>
          <w:szCs w:val="24"/>
        </w:rPr>
      </w:pPr>
      <w:r>
        <w:rPr>
          <w:b/>
          <w:sz w:val="24"/>
          <w:szCs w:val="24"/>
        </w:rPr>
        <w:br w:type="column"/>
      </w:r>
      <w:r w:rsidRPr="00C9397E">
        <w:rPr>
          <w:b/>
          <w:sz w:val="24"/>
          <w:szCs w:val="24"/>
        </w:rPr>
        <w:t xml:space="preserve">Child Welfare System Involved Youth </w:t>
      </w:r>
    </w:p>
    <w:p w:rsidR="00C9397E" w:rsidRDefault="00C9397E" w:rsidP="00C9397E">
      <w:pPr>
        <w:jc w:val="both"/>
      </w:pPr>
      <w:r>
        <w:t>Youth aging out of foster care have high rates of homelessness and housing instability. In some jurisdictions, up to 36% of youth who transitioned out of foster care reported at least one episode of homelessness.</w:t>
      </w:r>
      <w:r w:rsidR="000C0353">
        <w:rPr>
          <w:rStyle w:val="FootnoteReference"/>
        </w:rPr>
        <w:footnoteReference w:id="4"/>
      </w:r>
    </w:p>
    <w:p w:rsidR="00C9397E" w:rsidRDefault="00C9397E" w:rsidP="000C0353">
      <w:pPr>
        <w:spacing w:after="0"/>
        <w:jc w:val="both"/>
        <w:rPr>
          <w:b/>
          <w:sz w:val="24"/>
          <w:szCs w:val="24"/>
        </w:rPr>
      </w:pPr>
      <w:r w:rsidRPr="00C9397E">
        <w:rPr>
          <w:b/>
          <w:sz w:val="24"/>
          <w:szCs w:val="24"/>
        </w:rPr>
        <w:t>Sex Trafficked Youth</w:t>
      </w:r>
    </w:p>
    <w:p w:rsidR="00C9397E" w:rsidRPr="00C9397E" w:rsidRDefault="00C9397E" w:rsidP="00C9397E">
      <w:pPr>
        <w:jc w:val="both"/>
        <w:rPr>
          <w:b/>
          <w:sz w:val="24"/>
          <w:szCs w:val="24"/>
        </w:rPr>
      </w:pPr>
      <w:r>
        <w:t xml:space="preserve">Young people often flee abuse and violence at home, but are exposed to further sexual victimization and human trafficking once on the street. Research has shown that 34% of youth reported sexual abuse before they left their homes, while 80% of runaway and homeless girls reported having ever been </w:t>
      </w:r>
      <w:r>
        <w:t>sexually or physically abused.</w:t>
      </w:r>
      <w:r w:rsidR="000C0353">
        <w:rPr>
          <w:rStyle w:val="FootnoteReference"/>
        </w:rPr>
        <w:footnoteReference w:id="5"/>
      </w:r>
      <w:r>
        <w:t xml:space="preserve"> One quarter of youth living on the street and 10% of those in shelters have report being forced to have “survival sex” in exchang</w:t>
      </w:r>
      <w:r>
        <w:t>e for shelter, food, or money.</w:t>
      </w:r>
      <w:r w:rsidR="000C0353">
        <w:rPr>
          <w:rStyle w:val="FootnoteReference"/>
        </w:rPr>
        <w:footnoteReference w:id="6"/>
      </w:r>
      <w:r>
        <w:t xml:space="preserve"> If the youth has already been the victim of sexual abuse, it increases the odds of the y</w:t>
      </w:r>
      <w:r>
        <w:t xml:space="preserve">outh engaging in survival sex. </w:t>
      </w:r>
    </w:p>
    <w:p w:rsidR="00C9397E" w:rsidRPr="00C9397E" w:rsidRDefault="00C9397E" w:rsidP="000C0353">
      <w:pPr>
        <w:spacing w:after="0"/>
        <w:jc w:val="both"/>
        <w:rPr>
          <w:b/>
          <w:sz w:val="24"/>
          <w:szCs w:val="24"/>
        </w:rPr>
      </w:pPr>
      <w:r w:rsidRPr="00C9397E">
        <w:rPr>
          <w:b/>
          <w:sz w:val="24"/>
          <w:szCs w:val="24"/>
        </w:rPr>
        <w:t xml:space="preserve"> Immigrant and Refugee Youth </w:t>
      </w:r>
    </w:p>
    <w:p w:rsidR="00B02E58" w:rsidRDefault="00C9397E" w:rsidP="000C0353">
      <w:pPr>
        <w:jc w:val="both"/>
      </w:pPr>
      <w:r>
        <w:t>Being undocumented and/or non-English speaking increases the risk of homelessness. As individuals flee their home countries to escape widespread poverty, violence, and persecution, families are often separated. Once arriving in America, exploitation of workers and unequal pay is commonplace. Further, immigrants often have limited or no access to services and benefits – either because they are not eligible, because they are unable to access culturally appropriate services, or because they are reluctant to seek assistance for fear of deportation. Lack of a social network onl</w:t>
      </w:r>
      <w:r>
        <w:t xml:space="preserve">y exacerbates these problems. </w:t>
      </w:r>
    </w:p>
    <w:sectPr w:rsidR="00B02E58" w:rsidSect="00C9397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6D8" w:rsidRDefault="008D26D8" w:rsidP="008D26D8">
      <w:pPr>
        <w:spacing w:after="0" w:line="240" w:lineRule="auto"/>
      </w:pPr>
      <w:r>
        <w:separator/>
      </w:r>
    </w:p>
  </w:endnote>
  <w:endnote w:type="continuationSeparator" w:id="0">
    <w:p w:rsidR="008D26D8" w:rsidRDefault="008D26D8" w:rsidP="008D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6D8" w:rsidRDefault="008D26D8" w:rsidP="008D26D8">
      <w:pPr>
        <w:spacing w:after="0" w:line="240" w:lineRule="auto"/>
      </w:pPr>
      <w:r>
        <w:separator/>
      </w:r>
    </w:p>
  </w:footnote>
  <w:footnote w:type="continuationSeparator" w:id="0">
    <w:p w:rsidR="008D26D8" w:rsidRDefault="008D26D8" w:rsidP="008D26D8">
      <w:pPr>
        <w:spacing w:after="0" w:line="240" w:lineRule="auto"/>
      </w:pPr>
      <w:r>
        <w:continuationSeparator/>
      </w:r>
    </w:p>
  </w:footnote>
  <w:footnote w:id="1">
    <w:p w:rsidR="008D26D8" w:rsidRPr="007C40F4" w:rsidRDefault="008D26D8">
      <w:pPr>
        <w:pStyle w:val="FootnoteText"/>
        <w:rPr>
          <w:sz w:val="16"/>
          <w:szCs w:val="16"/>
        </w:rPr>
      </w:pPr>
      <w:r w:rsidRPr="007C40F4">
        <w:rPr>
          <w:rStyle w:val="FootnoteReference"/>
          <w:sz w:val="16"/>
          <w:szCs w:val="16"/>
        </w:rPr>
        <w:footnoteRef/>
      </w:r>
      <w:r w:rsidRPr="007C40F4">
        <w:rPr>
          <w:sz w:val="16"/>
          <w:szCs w:val="16"/>
        </w:rPr>
        <w:t xml:space="preserve"> Based on a summary of research conducted by the </w:t>
      </w:r>
      <w:r w:rsidRPr="007C40F4">
        <w:rPr>
          <w:sz w:val="16"/>
          <w:szCs w:val="16"/>
        </w:rPr>
        <w:t>National Network for Youth. What Works to End Youth Homelessness? March 2015. Accessed at: https://www.nn4youth.org/wp-content/uploads/2015-What-Worksto-End-Youth-Homlessness.pdf</w:t>
      </w:r>
    </w:p>
  </w:footnote>
  <w:footnote w:id="2">
    <w:p w:rsidR="00C9397E" w:rsidRPr="00324812" w:rsidRDefault="00C9397E">
      <w:pPr>
        <w:pStyle w:val="FootnoteText"/>
        <w:rPr>
          <w:sz w:val="16"/>
          <w:szCs w:val="16"/>
        </w:rPr>
      </w:pPr>
      <w:r w:rsidRPr="00324812">
        <w:rPr>
          <w:rStyle w:val="FootnoteReference"/>
          <w:sz w:val="16"/>
          <w:szCs w:val="16"/>
        </w:rPr>
        <w:footnoteRef/>
      </w:r>
      <w:r w:rsidRPr="00324812">
        <w:rPr>
          <w:sz w:val="16"/>
          <w:szCs w:val="16"/>
        </w:rPr>
        <w:t xml:space="preserve"> </w:t>
      </w:r>
      <w:r w:rsidR="000C0353" w:rsidRPr="00324812">
        <w:rPr>
          <w:sz w:val="16"/>
          <w:szCs w:val="16"/>
        </w:rPr>
        <w:t>The Williams Institute, Serving Our Youth: Findings from a National Survey of Service Providers Working with Lesbian, Gay, Bisexual and Transgender Youth Who Are Homeless or At Risk of Becoming Homeless (July 2012). Accessed at: https://williamsinstitute.law.ucla.edu/wp-content/uploads/Durso-Gates-LGBT-HomelessYouth-Survey-July-2012.pdf</w:t>
      </w:r>
    </w:p>
  </w:footnote>
  <w:footnote w:id="3">
    <w:p w:rsidR="000C0353" w:rsidRPr="00324812" w:rsidRDefault="000C0353">
      <w:pPr>
        <w:pStyle w:val="FootnoteText"/>
        <w:rPr>
          <w:sz w:val="16"/>
          <w:szCs w:val="16"/>
        </w:rPr>
      </w:pPr>
      <w:r w:rsidRPr="00324812">
        <w:rPr>
          <w:rStyle w:val="FootnoteReference"/>
          <w:sz w:val="16"/>
          <w:szCs w:val="16"/>
        </w:rPr>
        <w:footnoteRef/>
      </w:r>
      <w:r w:rsidRPr="00324812">
        <w:rPr>
          <w:sz w:val="16"/>
          <w:szCs w:val="16"/>
        </w:rPr>
        <w:t xml:space="preserve"> </w:t>
      </w:r>
      <w:r w:rsidRPr="00324812">
        <w:rPr>
          <w:sz w:val="16"/>
          <w:szCs w:val="16"/>
        </w:rPr>
        <w:t>Fernandes-Alcantara, Adrienne L., Runaway and Homeless Youth: Demographics and Programs, Congressional Research Office (2016). Available at https://fas. org/</w:t>
      </w:r>
      <w:proofErr w:type="spellStart"/>
      <w:r w:rsidRPr="00324812">
        <w:rPr>
          <w:sz w:val="16"/>
          <w:szCs w:val="16"/>
        </w:rPr>
        <w:t>sgp</w:t>
      </w:r>
      <w:proofErr w:type="spellEnd"/>
      <w:r w:rsidRPr="00324812">
        <w:rPr>
          <w:sz w:val="16"/>
          <w:szCs w:val="16"/>
        </w:rPr>
        <w:t>/</w:t>
      </w:r>
      <w:proofErr w:type="spellStart"/>
      <w:r w:rsidRPr="00324812">
        <w:rPr>
          <w:sz w:val="16"/>
          <w:szCs w:val="16"/>
        </w:rPr>
        <w:t>crs</w:t>
      </w:r>
      <w:proofErr w:type="spellEnd"/>
      <w:r w:rsidRPr="00324812">
        <w:rPr>
          <w:sz w:val="16"/>
          <w:szCs w:val="16"/>
        </w:rPr>
        <w:t>/</w:t>
      </w:r>
      <w:proofErr w:type="spellStart"/>
      <w:r w:rsidRPr="00324812">
        <w:rPr>
          <w:sz w:val="16"/>
          <w:szCs w:val="16"/>
        </w:rPr>
        <w:t>misc</w:t>
      </w:r>
      <w:proofErr w:type="spellEnd"/>
      <w:r w:rsidRPr="00324812">
        <w:rPr>
          <w:sz w:val="16"/>
          <w:szCs w:val="16"/>
        </w:rPr>
        <w:t>/RL33785.pdf.</w:t>
      </w:r>
    </w:p>
  </w:footnote>
  <w:footnote w:id="4">
    <w:p w:rsidR="000C0353" w:rsidRPr="00324812" w:rsidRDefault="000C0353">
      <w:pPr>
        <w:pStyle w:val="FootnoteText"/>
        <w:rPr>
          <w:sz w:val="16"/>
          <w:szCs w:val="16"/>
        </w:rPr>
      </w:pPr>
      <w:r w:rsidRPr="00324812">
        <w:rPr>
          <w:rStyle w:val="FootnoteReference"/>
          <w:sz w:val="16"/>
          <w:szCs w:val="16"/>
        </w:rPr>
        <w:footnoteRef/>
      </w:r>
      <w:r w:rsidRPr="00324812">
        <w:rPr>
          <w:sz w:val="16"/>
          <w:szCs w:val="16"/>
        </w:rPr>
        <w:t xml:space="preserve"> </w:t>
      </w:r>
      <w:r w:rsidRPr="00324812">
        <w:rPr>
          <w:sz w:val="16"/>
          <w:szCs w:val="16"/>
        </w:rPr>
        <w:t>Chapin Hall, Predictors of Homelessness during the Transition from Foster Care to Adulthood (2016). Accessed at: http://www.chapinhall.org/research/inside/ predictors-homelessness-during-transition-foster-care-adulthood</w:t>
      </w:r>
    </w:p>
  </w:footnote>
  <w:footnote w:id="5">
    <w:p w:rsidR="000C0353" w:rsidRPr="00324812" w:rsidRDefault="000C0353">
      <w:pPr>
        <w:pStyle w:val="FootnoteText"/>
        <w:rPr>
          <w:sz w:val="16"/>
          <w:szCs w:val="16"/>
        </w:rPr>
      </w:pPr>
      <w:r w:rsidRPr="00324812">
        <w:rPr>
          <w:rStyle w:val="FootnoteReference"/>
          <w:sz w:val="16"/>
          <w:szCs w:val="16"/>
        </w:rPr>
        <w:footnoteRef/>
      </w:r>
      <w:r w:rsidRPr="00324812">
        <w:rPr>
          <w:sz w:val="16"/>
          <w:szCs w:val="16"/>
        </w:rPr>
        <w:t xml:space="preserve"> </w:t>
      </w:r>
      <w:r w:rsidRPr="00324812">
        <w:rPr>
          <w:sz w:val="16"/>
          <w:szCs w:val="16"/>
        </w:rPr>
        <w:t xml:space="preserve">Molnar, B., Shade, S., </w:t>
      </w:r>
      <w:proofErr w:type="spellStart"/>
      <w:r w:rsidRPr="00324812">
        <w:rPr>
          <w:sz w:val="16"/>
          <w:szCs w:val="16"/>
        </w:rPr>
        <w:t>Kral</w:t>
      </w:r>
      <w:proofErr w:type="spellEnd"/>
      <w:r w:rsidRPr="00324812">
        <w:rPr>
          <w:sz w:val="16"/>
          <w:szCs w:val="16"/>
        </w:rPr>
        <w:t>, A., Booth, R., &amp; Watters, J. (1998). Suicidal Behavior and Sexual/Physical Abuse Among Street Youth. Child Abuse &amp; Neglect. Vol. 22, No. 3, pp. 213-222.</w:t>
      </w:r>
    </w:p>
  </w:footnote>
  <w:footnote w:id="6">
    <w:p w:rsidR="000C0353" w:rsidRPr="00324812" w:rsidRDefault="000C0353">
      <w:pPr>
        <w:pStyle w:val="FootnoteText"/>
        <w:rPr>
          <w:sz w:val="16"/>
          <w:szCs w:val="16"/>
        </w:rPr>
      </w:pPr>
      <w:r w:rsidRPr="00324812">
        <w:rPr>
          <w:rStyle w:val="FootnoteReference"/>
          <w:sz w:val="16"/>
          <w:szCs w:val="16"/>
        </w:rPr>
        <w:footnoteRef/>
      </w:r>
      <w:r w:rsidRPr="00324812">
        <w:rPr>
          <w:sz w:val="16"/>
          <w:szCs w:val="16"/>
        </w:rPr>
        <w:t xml:space="preserve"> </w:t>
      </w:r>
      <w:r w:rsidRPr="00324812">
        <w:rPr>
          <w:sz w:val="16"/>
          <w:szCs w:val="16"/>
        </w:rPr>
        <w:t xml:space="preserve">Jody M. Greene, Susan T. </w:t>
      </w:r>
      <w:proofErr w:type="spellStart"/>
      <w:r w:rsidRPr="00324812">
        <w:rPr>
          <w:sz w:val="16"/>
          <w:szCs w:val="16"/>
        </w:rPr>
        <w:t>Ennett</w:t>
      </w:r>
      <w:proofErr w:type="spellEnd"/>
      <w:r w:rsidRPr="00324812">
        <w:rPr>
          <w:sz w:val="16"/>
          <w:szCs w:val="16"/>
        </w:rPr>
        <w:t xml:space="preserve">, &amp; Christopher L. </w:t>
      </w:r>
      <w:proofErr w:type="spellStart"/>
      <w:r w:rsidRPr="00324812">
        <w:rPr>
          <w:sz w:val="16"/>
          <w:szCs w:val="16"/>
        </w:rPr>
        <w:t>Ringwalt</w:t>
      </w:r>
      <w:proofErr w:type="spellEnd"/>
      <w:r w:rsidRPr="00324812">
        <w:rPr>
          <w:sz w:val="16"/>
          <w:szCs w:val="16"/>
        </w:rPr>
        <w:t>, Prevalence and Correlates of Survival Sex Among Runaway and Homeless Youth, 89 Am. J. Pub. Health 1406, 1408 (1999). Accessed at http://www.ncbi.nlm.nih.gov/pmc/articles/PMC1508758/pdf/amjph00009-0102.pdf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704766"/>
    <w:multiLevelType w:val="hybridMultilevel"/>
    <w:tmpl w:val="D8EC8474"/>
    <w:lvl w:ilvl="0" w:tplc="FCE68B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0F"/>
    <w:rsid w:val="000C0353"/>
    <w:rsid w:val="00187B0F"/>
    <w:rsid w:val="002B2038"/>
    <w:rsid w:val="00324812"/>
    <w:rsid w:val="0040728B"/>
    <w:rsid w:val="00533429"/>
    <w:rsid w:val="007C40F4"/>
    <w:rsid w:val="008635A0"/>
    <w:rsid w:val="008930A8"/>
    <w:rsid w:val="008D26D8"/>
    <w:rsid w:val="00AC4C07"/>
    <w:rsid w:val="00B02E58"/>
    <w:rsid w:val="00B26D92"/>
    <w:rsid w:val="00C86930"/>
    <w:rsid w:val="00C9397E"/>
    <w:rsid w:val="00F53EB7"/>
    <w:rsid w:val="00FC1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9B5E"/>
  <w15:chartTrackingRefBased/>
  <w15:docId w15:val="{FC4A67D6-BDF2-410D-A4C2-FE214C0E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2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129D"/>
    <w:pPr>
      <w:ind w:left="720"/>
      <w:contextualSpacing/>
    </w:pPr>
  </w:style>
  <w:style w:type="paragraph" w:styleId="FootnoteText">
    <w:name w:val="footnote text"/>
    <w:basedOn w:val="Normal"/>
    <w:link w:val="FootnoteTextChar"/>
    <w:uiPriority w:val="99"/>
    <w:semiHidden/>
    <w:unhideWhenUsed/>
    <w:rsid w:val="008D26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6D8"/>
    <w:rPr>
      <w:sz w:val="20"/>
      <w:szCs w:val="20"/>
    </w:rPr>
  </w:style>
  <w:style w:type="character" w:styleId="FootnoteReference">
    <w:name w:val="footnote reference"/>
    <w:basedOn w:val="DefaultParagraphFont"/>
    <w:uiPriority w:val="99"/>
    <w:semiHidden/>
    <w:unhideWhenUsed/>
    <w:rsid w:val="008D26D8"/>
    <w:rPr>
      <w:vertAlign w:val="superscript"/>
    </w:rPr>
  </w:style>
  <w:style w:type="table" w:styleId="PlainTable1">
    <w:name w:val="Plain Table 1"/>
    <w:basedOn w:val="TableNormal"/>
    <w:uiPriority w:val="41"/>
    <w:rsid w:val="008D26D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D26D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2</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McCafferty</dc:creator>
  <cp:keywords/>
  <dc:description/>
  <cp:lastModifiedBy>Gerry McCafferty</cp:lastModifiedBy>
  <cp:revision>1</cp:revision>
  <dcterms:created xsi:type="dcterms:W3CDTF">2017-08-04T23:56:00Z</dcterms:created>
  <dcterms:modified xsi:type="dcterms:W3CDTF">2017-08-08T14:46:00Z</dcterms:modified>
</cp:coreProperties>
</file>