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2A" w:rsidRPr="00622C4B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22C4B">
        <w:rPr>
          <w:rFonts w:eastAsia="Times New Roman" w:cstheme="minorHAnsi"/>
          <w:b/>
          <w:sz w:val="24"/>
          <w:szCs w:val="24"/>
        </w:rPr>
        <w:t>Hampden County Data</w:t>
      </w:r>
    </w:p>
    <w:p w:rsidR="00622C4B" w:rsidRPr="00622C4B" w:rsidRDefault="00622C4B" w:rsidP="00622C4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HMIs data over t</w:t>
      </w:r>
      <w:r w:rsidRPr="00622C4B">
        <w:rPr>
          <w:rFonts w:eastAsia="Times New Roman" w:cstheme="minorHAnsi"/>
          <w:sz w:val="24"/>
          <w:szCs w:val="24"/>
        </w:rPr>
        <w:t xml:space="preserve">he last year. </w:t>
      </w:r>
    </w:p>
    <w:p w:rsidR="00622C4B" w:rsidRPr="00622C4B" w:rsidRDefault="00622C4B" w:rsidP="00622C4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 </w:t>
      </w:r>
    </w:p>
    <w:p w:rsidR="00622C4B" w:rsidRPr="00622C4B" w:rsidRDefault="00622C4B" w:rsidP="00622C4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The answers to the questions for today’s call:</w:t>
      </w:r>
    </w:p>
    <w:p w:rsidR="00622C4B" w:rsidRPr="00622C4B" w:rsidRDefault="00622C4B" w:rsidP="00622C4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 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1.       Average # of days from assessment to placement: 54 (but there were only 4 youth who were both assessed and placed in PSH/RRH)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2.       Left program to unknown destinations: 83 youth or 67%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3.       Left to family: 20 youth or 17%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·         6 white non-Hispanic (17% of all white youth)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·         6 Hispanic white (9% of all Hispanic youth)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·         6 black (12% of all black youth)</w:t>
      </w:r>
    </w:p>
    <w:p w:rsidR="00622C4B" w:rsidRPr="00622C4B" w:rsidRDefault="00622C4B" w:rsidP="00622C4B">
      <w:pPr>
        <w:shd w:val="clear" w:color="auto" w:fill="FFFFFF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·         2 Native Hawaiian/Pacific Islanders (50% of Native Hawaiian/Pacific Islander youth)</w:t>
      </w:r>
    </w:p>
    <w:p w:rsidR="00622C4B" w:rsidRDefault="00622C4B" w:rsidP="00622C4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22C4B">
        <w:rPr>
          <w:rFonts w:eastAsia="Times New Roman" w:cstheme="minorHAnsi"/>
          <w:sz w:val="24"/>
          <w:szCs w:val="24"/>
        </w:rPr>
        <w:t> </w:t>
      </w:r>
    </w:p>
    <w:p w:rsidR="007E1F09" w:rsidRPr="00CA2086" w:rsidRDefault="007E1F09" w:rsidP="007E1F09">
      <w:pPr>
        <w:spacing w:after="0"/>
        <w:rPr>
          <w:b/>
          <w:sz w:val="28"/>
          <w:szCs w:val="28"/>
        </w:rPr>
      </w:pPr>
      <w:r w:rsidRPr="00CA2086">
        <w:rPr>
          <w:b/>
          <w:sz w:val="28"/>
          <w:szCs w:val="28"/>
        </w:rPr>
        <w:t xml:space="preserve">Homeless Youth Served by Springfield-Hampden </w:t>
      </w:r>
      <w:proofErr w:type="spellStart"/>
      <w:r w:rsidRPr="00CA2086">
        <w:rPr>
          <w:b/>
          <w:sz w:val="28"/>
          <w:szCs w:val="28"/>
        </w:rPr>
        <w:t>CoC</w:t>
      </w:r>
      <w:proofErr w:type="spellEnd"/>
    </w:p>
    <w:p w:rsidR="007E1F09" w:rsidRDefault="007E1F09" w:rsidP="007E1F09">
      <w:r>
        <w:t>7/1/2017 – 6/30/2018</w:t>
      </w:r>
    </w:p>
    <w:p w:rsidR="007E1F09" w:rsidRPr="00CA2086" w:rsidRDefault="007E1F09" w:rsidP="007E1F09">
      <w:pPr>
        <w:spacing w:after="0"/>
        <w:rPr>
          <w:b/>
        </w:rPr>
      </w:pPr>
      <w:r w:rsidRPr="00CA2086">
        <w:rPr>
          <w:b/>
        </w:rPr>
        <w:t xml:space="preserve">Youth Served: </w:t>
      </w:r>
      <w:r w:rsidRPr="00CA2086">
        <w:rPr>
          <w:b/>
        </w:rPr>
        <w:tab/>
      </w:r>
      <w:r w:rsidRPr="00CA2086">
        <w:rPr>
          <w:b/>
        </w:rPr>
        <w:tab/>
      </w:r>
      <w:r w:rsidRPr="00CA2086">
        <w:rPr>
          <w:b/>
        </w:rPr>
        <w:tab/>
        <w:t xml:space="preserve"> 160</w:t>
      </w:r>
    </w:p>
    <w:p w:rsidR="007E1F09" w:rsidRDefault="007E1F09" w:rsidP="007E1F09">
      <w:pPr>
        <w:spacing w:after="0"/>
      </w:pPr>
    </w:p>
    <w:p w:rsidR="007E1F09" w:rsidRPr="00CA2086" w:rsidRDefault="007E1F09" w:rsidP="007E1F09">
      <w:pPr>
        <w:spacing w:after="0"/>
        <w:rPr>
          <w:b/>
        </w:rPr>
      </w:pPr>
      <w:r w:rsidRPr="00CA2086">
        <w:rPr>
          <w:b/>
        </w:rPr>
        <w:t xml:space="preserve">Youth that exited system: </w:t>
      </w:r>
      <w:r w:rsidRPr="00CA2086">
        <w:rPr>
          <w:b/>
        </w:rPr>
        <w:tab/>
        <w:t xml:space="preserve"> 123</w:t>
      </w:r>
    </w:p>
    <w:p w:rsidR="007E1F09" w:rsidRDefault="007E1F09" w:rsidP="007E1F09">
      <w:pPr>
        <w:spacing w:after="0"/>
      </w:pPr>
      <w:r>
        <w:t>Outcomes/Destination—</w:t>
      </w:r>
    </w:p>
    <w:p w:rsidR="007E1F09" w:rsidRDefault="007E1F09" w:rsidP="007E1F09">
      <w:pPr>
        <w:spacing w:after="0"/>
      </w:pPr>
      <w:r>
        <w:tab/>
        <w:t>Data Not Collected</w:t>
      </w:r>
      <w:r>
        <w:tab/>
        <w:t>67%</w:t>
      </w:r>
    </w:p>
    <w:p w:rsidR="007E1F09" w:rsidRDefault="007E1F09" w:rsidP="007E1F09">
      <w:pPr>
        <w:spacing w:after="0"/>
      </w:pPr>
      <w:r>
        <w:tab/>
        <w:t>With Family</w:t>
      </w:r>
      <w:r>
        <w:tab/>
      </w:r>
      <w:r>
        <w:tab/>
        <w:t>17%</w:t>
      </w:r>
    </w:p>
    <w:p w:rsidR="007E1F09" w:rsidRDefault="007E1F09" w:rsidP="007E1F09">
      <w:pPr>
        <w:spacing w:after="0"/>
      </w:pPr>
      <w:r>
        <w:tab/>
        <w:t>Housed in PSH/RRH</w:t>
      </w:r>
      <w:r>
        <w:tab/>
        <w:t xml:space="preserve"> 4%</w:t>
      </w:r>
    </w:p>
    <w:p w:rsidR="007E1F09" w:rsidRDefault="007E1F09" w:rsidP="007E1F09">
      <w:pPr>
        <w:spacing w:after="0"/>
      </w:pPr>
      <w:r>
        <w:tab/>
        <w:t>Housed w/no subsidy</w:t>
      </w:r>
      <w:r>
        <w:tab/>
        <w:t xml:space="preserve"> 4%</w:t>
      </w:r>
    </w:p>
    <w:p w:rsidR="007E1F09" w:rsidRDefault="007E1F09" w:rsidP="007E1F09">
      <w:r>
        <w:tab/>
        <w:t>Other</w:t>
      </w:r>
      <w:r>
        <w:tab/>
      </w:r>
      <w:r>
        <w:tab/>
      </w:r>
      <w:r>
        <w:tab/>
        <w:t xml:space="preserve"> 8%</w:t>
      </w:r>
    </w:p>
    <w:p w:rsidR="007E1F09" w:rsidRDefault="007E1F09" w:rsidP="007E1F09">
      <w:pPr>
        <w:spacing w:after="120"/>
        <w:rPr>
          <w:b/>
        </w:rPr>
      </w:pPr>
      <w:r w:rsidRPr="00F33BE5">
        <w:rPr>
          <w:b/>
        </w:rPr>
        <w:t>Youth Assessed:</w:t>
      </w:r>
      <w:r w:rsidRPr="00F33BE5">
        <w:rPr>
          <w:b/>
        </w:rPr>
        <w:tab/>
      </w:r>
      <w:r w:rsidRPr="00F33BE5">
        <w:rPr>
          <w:b/>
        </w:rPr>
        <w:tab/>
        <w:t xml:space="preserve"> 33</w:t>
      </w:r>
    </w:p>
    <w:p w:rsidR="007E1F09" w:rsidRDefault="007E1F09" w:rsidP="007E1F09">
      <w:pPr>
        <w:spacing w:after="0"/>
      </w:pPr>
      <w:r>
        <w:t>Outcomes/Destination—</w:t>
      </w:r>
    </w:p>
    <w:p w:rsidR="007E1F09" w:rsidRDefault="007E1F09" w:rsidP="007E1F09">
      <w:pPr>
        <w:spacing w:after="0"/>
      </w:pPr>
      <w:r>
        <w:tab/>
        <w:t>Data Not Collected</w:t>
      </w:r>
      <w:r>
        <w:tab/>
        <w:t>21%</w:t>
      </w:r>
    </w:p>
    <w:p w:rsidR="007E1F09" w:rsidRDefault="007E1F09" w:rsidP="007E1F09">
      <w:pPr>
        <w:spacing w:after="0"/>
      </w:pPr>
      <w:r>
        <w:tab/>
        <w:t>With Family</w:t>
      </w:r>
      <w:r>
        <w:tab/>
      </w:r>
      <w:r>
        <w:tab/>
        <w:t>12%</w:t>
      </w:r>
    </w:p>
    <w:p w:rsidR="007E1F09" w:rsidRDefault="007E1F09" w:rsidP="007E1F09">
      <w:pPr>
        <w:spacing w:after="0"/>
      </w:pPr>
      <w:r>
        <w:tab/>
        <w:t>In Housing</w:t>
      </w:r>
      <w:r>
        <w:tab/>
      </w:r>
      <w:r>
        <w:tab/>
        <w:t>12%</w:t>
      </w:r>
    </w:p>
    <w:p w:rsidR="007E1F09" w:rsidRDefault="007E1F09" w:rsidP="007E1F09">
      <w:pPr>
        <w:spacing w:after="0"/>
      </w:pPr>
      <w:r>
        <w:tab/>
        <w:t>Waiting for placement</w:t>
      </w:r>
      <w:r>
        <w:tab/>
        <w:t>55%</w:t>
      </w:r>
      <w:r>
        <w:tab/>
      </w:r>
    </w:p>
    <w:p w:rsidR="007E1F09" w:rsidRDefault="007E1F09" w:rsidP="007E1F09">
      <w:pPr>
        <w:spacing w:after="0"/>
      </w:pPr>
    </w:p>
    <w:p w:rsidR="007E1F09" w:rsidRDefault="007E1F09" w:rsidP="007E1F09">
      <w:pPr>
        <w:spacing w:after="0"/>
      </w:pPr>
      <w:r>
        <w:t>For Youth assessed and housed, average time from assessment to housing: 55 days (n=4)</w:t>
      </w:r>
    </w:p>
    <w:p w:rsidR="007E1F09" w:rsidRDefault="007E1F09" w:rsidP="007E1F09">
      <w:r>
        <w:tab/>
      </w:r>
    </w:p>
    <w:p w:rsidR="007E1F09" w:rsidRPr="00F33BE5" w:rsidRDefault="007E1F09" w:rsidP="007E1F09">
      <w:pPr>
        <w:rPr>
          <w:b/>
        </w:rPr>
      </w:pPr>
      <w:r w:rsidRPr="00F33BE5">
        <w:rPr>
          <w:b/>
        </w:rPr>
        <w:t>Race/Ethnic Data:</w:t>
      </w:r>
    </w:p>
    <w:tbl>
      <w:tblPr>
        <w:tblStyle w:val="TableGrid"/>
        <w:tblW w:w="9950" w:type="dxa"/>
        <w:tblLayout w:type="fixed"/>
        <w:tblLook w:val="04A0" w:firstRow="1" w:lastRow="0" w:firstColumn="1" w:lastColumn="0" w:noHBand="0" w:noVBand="1"/>
      </w:tblPr>
      <w:tblGrid>
        <w:gridCol w:w="2268"/>
        <w:gridCol w:w="1280"/>
        <w:gridCol w:w="1280"/>
        <w:gridCol w:w="1281"/>
        <w:gridCol w:w="1280"/>
        <w:gridCol w:w="1280"/>
        <w:gridCol w:w="1281"/>
      </w:tblGrid>
      <w:tr w:rsidR="007E1F09" w:rsidRPr="00CA2086" w:rsidTr="00A82D69">
        <w:trPr>
          <w:trHeight w:val="300"/>
        </w:trPr>
        <w:tc>
          <w:tcPr>
            <w:tcW w:w="2268" w:type="dxa"/>
            <w:noWrap/>
            <w:hideMark/>
          </w:tcPr>
          <w:p w:rsidR="007E1F09" w:rsidRPr="00CA2086" w:rsidRDefault="007E1F09" w:rsidP="00A82D69">
            <w:r w:rsidRPr="00CA2086">
              <w:t> 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White, Non-</w:t>
            </w:r>
            <w:proofErr w:type="spellStart"/>
            <w:r w:rsidRPr="00CA2086">
              <w:t>Hisp</w:t>
            </w:r>
            <w:proofErr w:type="spellEnd"/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Hispanic White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Black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Asian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American Indian/</w:t>
            </w:r>
            <w:r>
              <w:t xml:space="preserve"> </w:t>
            </w:r>
            <w:r w:rsidRPr="00CA2086">
              <w:t>Native Alaskan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Hawaiian/</w:t>
            </w:r>
            <w:r>
              <w:t xml:space="preserve"> </w:t>
            </w:r>
            <w:r w:rsidRPr="00CA2086">
              <w:t>Pacific Islander</w:t>
            </w:r>
          </w:p>
        </w:tc>
      </w:tr>
      <w:tr w:rsidR="007E1F09" w:rsidRPr="00CA2086" w:rsidTr="00A82D69">
        <w:trPr>
          <w:trHeight w:val="300"/>
        </w:trPr>
        <w:tc>
          <w:tcPr>
            <w:tcW w:w="2268" w:type="dxa"/>
            <w:noWrap/>
            <w:hideMark/>
          </w:tcPr>
          <w:p w:rsidR="007E1F09" w:rsidRPr="00CA2086" w:rsidRDefault="007E1F09" w:rsidP="00A82D69">
            <w:r w:rsidRPr="00CA2086">
              <w:t>Homeless Youth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21.9%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43.8%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31.3%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0.6%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2.5%</w:t>
            </w:r>
          </w:p>
        </w:tc>
      </w:tr>
      <w:tr w:rsidR="007E1F09" w:rsidRPr="00CA2086" w:rsidTr="00A82D69">
        <w:trPr>
          <w:trHeight w:val="300"/>
        </w:trPr>
        <w:tc>
          <w:tcPr>
            <w:tcW w:w="2268" w:type="dxa"/>
            <w:noWrap/>
            <w:hideMark/>
          </w:tcPr>
          <w:p w:rsidR="007E1F09" w:rsidRPr="00CA2086" w:rsidRDefault="007E1F09" w:rsidP="00A82D69">
            <w:r w:rsidRPr="00CA2086">
              <w:lastRenderedPageBreak/>
              <w:t>Exit to Family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17.1%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>
              <w:t>8.6</w:t>
            </w:r>
            <w:r w:rsidRPr="00CA2086">
              <w:t>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12.0%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50.0%</w:t>
            </w:r>
          </w:p>
        </w:tc>
      </w:tr>
      <w:tr w:rsidR="007E1F09" w:rsidRPr="00CA2086" w:rsidTr="00A82D69">
        <w:trPr>
          <w:trHeight w:val="300"/>
        </w:trPr>
        <w:tc>
          <w:tcPr>
            <w:tcW w:w="2268" w:type="dxa"/>
            <w:noWrap/>
            <w:hideMark/>
          </w:tcPr>
          <w:p w:rsidR="007E1F09" w:rsidRPr="00CA2086" w:rsidRDefault="007E1F09" w:rsidP="00A82D69">
            <w:r w:rsidRPr="00CA2086">
              <w:t>Exit to Housing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7.1%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10.0%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</w:tr>
      <w:tr w:rsidR="007E1F09" w:rsidRPr="00CA2086" w:rsidTr="00A82D69">
        <w:trPr>
          <w:trHeight w:val="300"/>
        </w:trPr>
        <w:tc>
          <w:tcPr>
            <w:tcW w:w="2268" w:type="dxa"/>
            <w:noWrap/>
            <w:hideMark/>
          </w:tcPr>
          <w:p w:rsidR="007E1F09" w:rsidRPr="00CA2086" w:rsidRDefault="007E1F09" w:rsidP="00A82D69">
            <w:r w:rsidRPr="00CA2086">
              <w:t xml:space="preserve">     Exit to PSH or RRH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1.4%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6.0%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</w:tr>
      <w:tr w:rsidR="007E1F09" w:rsidRPr="00CA2086" w:rsidTr="00A82D69">
        <w:trPr>
          <w:trHeight w:val="300"/>
        </w:trPr>
        <w:tc>
          <w:tcPr>
            <w:tcW w:w="2268" w:type="dxa"/>
            <w:noWrap/>
            <w:hideMark/>
          </w:tcPr>
          <w:p w:rsidR="007E1F09" w:rsidRPr="00CA2086" w:rsidRDefault="007E1F09" w:rsidP="00A82D69">
            <w:r w:rsidRPr="00CA2086">
              <w:t>Lost contact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20.5%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45.8%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32.5%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0" w:type="dxa"/>
            <w:noWrap/>
            <w:hideMark/>
          </w:tcPr>
          <w:p w:rsidR="007E1F09" w:rsidRPr="00CA2086" w:rsidRDefault="007E1F09" w:rsidP="00A82D69">
            <w:r w:rsidRPr="00CA2086">
              <w:t>0.0%</w:t>
            </w:r>
          </w:p>
        </w:tc>
        <w:tc>
          <w:tcPr>
            <w:tcW w:w="1281" w:type="dxa"/>
            <w:noWrap/>
            <w:hideMark/>
          </w:tcPr>
          <w:p w:rsidR="007E1F09" w:rsidRPr="00CA2086" w:rsidRDefault="007E1F09" w:rsidP="00A82D69">
            <w:r w:rsidRPr="00CA2086">
              <w:t>1.2%</w:t>
            </w:r>
          </w:p>
        </w:tc>
      </w:tr>
    </w:tbl>
    <w:p w:rsidR="007E1F09" w:rsidRDefault="007E1F09" w:rsidP="007E1F09"/>
    <w:p w:rsidR="00D8752A" w:rsidRPr="00622C4B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752A" w:rsidRPr="00622C4B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22C4B">
        <w:rPr>
          <w:rFonts w:eastAsia="Times New Roman" w:cstheme="minorHAnsi"/>
          <w:b/>
          <w:color w:val="222222"/>
          <w:sz w:val="24"/>
          <w:szCs w:val="24"/>
        </w:rPr>
        <w:t>Three County Data</w:t>
      </w:r>
    </w:p>
    <w:p w:rsid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 xml:space="preserve">HMIS data of the past year (July 1, 2017 - </w:t>
      </w:r>
      <w:r w:rsidRPr="00622C4B">
        <w:rPr>
          <w:rFonts w:eastAsia="Times New Roman" w:cstheme="minorHAnsi"/>
          <w:color w:val="222222"/>
          <w:sz w:val="24"/>
          <w:szCs w:val="24"/>
        </w:rPr>
        <w:t>June 30, 2018):</w:t>
      </w:r>
    </w:p>
    <w:p w:rsidR="00496AB9" w:rsidRPr="00D8752A" w:rsidRDefault="00496AB9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1-3/4 months between assessment and housing placements depending on youth motivation, housing authority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b/>
          <w:bCs/>
          <w:color w:val="222222"/>
          <w:sz w:val="24"/>
          <w:szCs w:val="24"/>
        </w:rPr>
        <w:t>1. Unknown destinations at exit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Of the 101 young people who exited shelter (ES or TH) over the past year, 45% left for unknown destinations.  This includes: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- Responses of "Client Refused" or "Client Doesn't Know"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- Response of "No Exit Interview Completed"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- Missing data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622C4B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Among persons 25+ who exited, our rate of &lt;Destination = Unknown&gt; is 18%.  Higher than what we would want, but also wildly better than the unknown/missing data rate among young people.  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622C4B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-- Average length of stay among young people during this time frame was 2+ weeks less than the LOS among their 25+ counterparts.  This might account for some of the difference.  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>-- Yet I also wonder if young people are less likely to participate in an exit interview, and/or less likely to know where they might be going, and/or less likely to want to share their plans.  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b/>
          <w:bCs/>
          <w:color w:val="222222"/>
          <w:sz w:val="24"/>
          <w:szCs w:val="24"/>
        </w:rPr>
        <w:t>2. Family destinations by race/ethnicity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t xml:space="preserve">- Of all young people who exited, 7 persons (7%) exited to family destinations.  -  - Among these </w:t>
      </w:r>
      <w:proofErr w:type="spellStart"/>
      <w:r w:rsidRPr="00D8752A">
        <w:rPr>
          <w:rFonts w:eastAsia="Times New Roman" w:cstheme="minorHAnsi"/>
          <w:color w:val="222222"/>
          <w:sz w:val="24"/>
          <w:szCs w:val="24"/>
        </w:rPr>
        <w:t>exiters</w:t>
      </w:r>
      <w:proofErr w:type="spellEnd"/>
      <w:r w:rsidRPr="00D8752A">
        <w:rPr>
          <w:rFonts w:eastAsia="Times New Roman" w:cstheme="minorHAnsi"/>
          <w:color w:val="222222"/>
          <w:sz w:val="24"/>
          <w:szCs w:val="24"/>
        </w:rPr>
        <w:t xml:space="preserve">, 1 person was African American or Black, representing 1% of all </w:t>
      </w:r>
      <w:proofErr w:type="spellStart"/>
      <w:r w:rsidRPr="00D8752A">
        <w:rPr>
          <w:rFonts w:eastAsia="Times New Roman" w:cstheme="minorHAnsi"/>
          <w:color w:val="222222"/>
          <w:sz w:val="24"/>
          <w:szCs w:val="24"/>
        </w:rPr>
        <w:t>exiters</w:t>
      </w:r>
      <w:proofErr w:type="spellEnd"/>
      <w:r w:rsidRPr="00D8752A">
        <w:rPr>
          <w:rFonts w:eastAsia="Times New Roman" w:cstheme="minorHAnsi"/>
          <w:color w:val="222222"/>
          <w:sz w:val="24"/>
          <w:szCs w:val="24"/>
        </w:rPr>
        <w:t xml:space="preserve"> or 14% of 'family destination </w:t>
      </w:r>
      <w:proofErr w:type="spellStart"/>
      <w:r w:rsidRPr="00D8752A">
        <w:rPr>
          <w:rFonts w:eastAsia="Times New Roman" w:cstheme="minorHAnsi"/>
          <w:color w:val="222222"/>
          <w:sz w:val="24"/>
          <w:szCs w:val="24"/>
        </w:rPr>
        <w:t>exiters</w:t>
      </w:r>
      <w:proofErr w:type="spellEnd"/>
      <w:r w:rsidRPr="00D8752A">
        <w:rPr>
          <w:rFonts w:eastAsia="Times New Roman" w:cstheme="minorHAnsi"/>
          <w:color w:val="222222"/>
          <w:sz w:val="24"/>
          <w:szCs w:val="24"/>
        </w:rPr>
        <w:t xml:space="preserve">'.  None of these </w:t>
      </w:r>
      <w:proofErr w:type="spellStart"/>
      <w:r w:rsidRPr="00D8752A">
        <w:rPr>
          <w:rFonts w:eastAsia="Times New Roman" w:cstheme="minorHAnsi"/>
          <w:color w:val="222222"/>
          <w:sz w:val="24"/>
          <w:szCs w:val="24"/>
        </w:rPr>
        <w:t>exiters</w:t>
      </w:r>
      <w:proofErr w:type="spellEnd"/>
      <w:r w:rsidRPr="00D8752A">
        <w:rPr>
          <w:rFonts w:eastAsia="Times New Roman" w:cstheme="minorHAnsi"/>
          <w:color w:val="222222"/>
          <w:sz w:val="24"/>
          <w:szCs w:val="24"/>
        </w:rPr>
        <w:t xml:space="preserve"> was Hispanic/</w:t>
      </w:r>
      <w:proofErr w:type="spellStart"/>
      <w:r w:rsidRPr="00D8752A">
        <w:rPr>
          <w:rFonts w:eastAsia="Times New Roman" w:cstheme="minorHAnsi"/>
          <w:color w:val="222222"/>
          <w:sz w:val="24"/>
          <w:szCs w:val="24"/>
        </w:rPr>
        <w:t>Latinx</w:t>
      </w:r>
      <w:proofErr w:type="spellEnd"/>
      <w:r w:rsidRPr="00D8752A">
        <w:rPr>
          <w:rFonts w:eastAsia="Times New Roman" w:cstheme="minorHAnsi"/>
          <w:color w:val="222222"/>
          <w:sz w:val="24"/>
          <w:szCs w:val="24"/>
        </w:rPr>
        <w:t>.  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b/>
          <w:bCs/>
          <w:color w:val="783F04"/>
          <w:sz w:val="24"/>
          <w:szCs w:val="24"/>
        </w:rPr>
        <w:t>Please note that the data above pertains to ES and TH settings.  I have not included Dial Self SOP and BC programs </w:t>
      </w:r>
      <w:r w:rsidRPr="00D8752A">
        <w:rPr>
          <w:rFonts w:eastAsia="Times New Roman" w:cstheme="minorHAnsi"/>
          <w:color w:val="000000"/>
          <w:sz w:val="24"/>
          <w:szCs w:val="24"/>
        </w:rPr>
        <w:t>for the past year </w:t>
      </w:r>
      <w:r w:rsidRPr="00D8752A">
        <w:rPr>
          <w:rFonts w:eastAsia="Times New Roman" w:cstheme="minorHAnsi"/>
          <w:color w:val="222222"/>
          <w:sz w:val="24"/>
          <w:szCs w:val="24"/>
        </w:rPr>
        <w:t>because the unknown/missing data rate for these programs is 63%.  With a majority of young people missing their &lt;Destination&gt; data we cannot draw any conclusions from the data regarding 'Exits to Family Settings by Race/Ethnicity'. </w:t>
      </w: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8752A" w:rsidRPr="00D8752A" w:rsidRDefault="00D8752A" w:rsidP="00D8752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8752A">
        <w:rPr>
          <w:rFonts w:eastAsia="Times New Roman" w:cstheme="minorHAnsi"/>
          <w:color w:val="222222"/>
          <w:sz w:val="24"/>
          <w:szCs w:val="24"/>
        </w:rPr>
        <w:lastRenderedPageBreak/>
        <w:t xml:space="preserve">It would be worthwhile for our </w:t>
      </w:r>
      <w:proofErr w:type="spellStart"/>
      <w:r w:rsidRPr="00D8752A">
        <w:rPr>
          <w:rFonts w:eastAsia="Times New Roman" w:cstheme="minorHAnsi"/>
          <w:color w:val="222222"/>
          <w:sz w:val="24"/>
          <w:szCs w:val="24"/>
        </w:rPr>
        <w:t>CoC</w:t>
      </w:r>
      <w:proofErr w:type="spellEnd"/>
      <w:r w:rsidRPr="00D8752A">
        <w:rPr>
          <w:rFonts w:eastAsia="Times New Roman" w:cstheme="minorHAnsi"/>
          <w:color w:val="222222"/>
          <w:sz w:val="24"/>
          <w:szCs w:val="24"/>
        </w:rPr>
        <w:t xml:space="preserve"> to implement specific initiatives to improve &lt;Destination&gt; data for young people.  Maybe this conversation could be kicked off during the CE meeting when we talk about data tracking issues.</w:t>
      </w:r>
    </w:p>
    <w:p w:rsidR="0015794B" w:rsidRPr="00622C4B" w:rsidRDefault="0015794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5794B" w:rsidRPr="0062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A"/>
    <w:rsid w:val="0015794B"/>
    <w:rsid w:val="00496AB9"/>
    <w:rsid w:val="00622C4B"/>
    <w:rsid w:val="007E1F09"/>
    <w:rsid w:val="00957276"/>
    <w:rsid w:val="00D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CE1A"/>
  <w15:chartTrackingRefBased/>
  <w15:docId w15:val="{6DCD7262-AB86-4305-8121-AF498C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Goldsmith</dc:creator>
  <cp:keywords/>
  <dc:description/>
  <cp:lastModifiedBy>Lisa Goldsmith</cp:lastModifiedBy>
  <cp:revision>2</cp:revision>
  <dcterms:created xsi:type="dcterms:W3CDTF">2018-08-05T12:24:00Z</dcterms:created>
  <dcterms:modified xsi:type="dcterms:W3CDTF">2018-08-05T12:24:00Z</dcterms:modified>
</cp:coreProperties>
</file>